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359" w:rsidRDefault="00CD0359" w:rsidP="00CD0359">
      <w:pPr>
        <w:ind w:right="-1" w:firstLine="1620"/>
        <w:rPr>
          <w:b/>
          <w:lang w:val="lt-LT"/>
        </w:rPr>
      </w:pPr>
      <w:bookmarkStart w:id="0" w:name="_GoBack"/>
      <w:bookmarkEnd w:id="0"/>
      <w:r>
        <w:rPr>
          <w:b/>
          <w:lang w:val="lt-LT"/>
        </w:rPr>
        <w:t xml:space="preserve">                   VIEŠOSIOS ĮSTAIGOS ŠAKIŲ LIGONINĖS</w:t>
      </w:r>
    </w:p>
    <w:p w:rsidR="00CD0359" w:rsidRDefault="00CD0359" w:rsidP="00CD0359">
      <w:pPr>
        <w:ind w:right="-1" w:firstLine="1620"/>
        <w:rPr>
          <w:b/>
          <w:lang w:val="lt-LT"/>
        </w:rPr>
      </w:pPr>
      <w:r>
        <w:rPr>
          <w:b/>
          <w:lang w:val="lt-LT"/>
        </w:rPr>
        <w:t xml:space="preserve">                          </w:t>
      </w:r>
      <w:r w:rsidR="00297EE3">
        <w:rPr>
          <w:b/>
          <w:lang w:val="lt-LT"/>
        </w:rPr>
        <w:t>2020</w:t>
      </w:r>
      <w:r>
        <w:rPr>
          <w:b/>
          <w:lang w:val="lt-LT"/>
        </w:rPr>
        <w:t xml:space="preserve"> METŲ VEIKLOS ATASKAITA                            </w:t>
      </w:r>
    </w:p>
    <w:p w:rsidR="00CD0359" w:rsidRPr="00577364" w:rsidRDefault="00CD0359" w:rsidP="00CD0359">
      <w:pPr>
        <w:ind w:right="-1" w:firstLine="1620"/>
        <w:rPr>
          <w:b/>
          <w:lang w:val="lt-LT"/>
        </w:rPr>
      </w:pPr>
    </w:p>
    <w:p w:rsidR="00732379" w:rsidRPr="00577364" w:rsidRDefault="00577364">
      <w:pPr>
        <w:rPr>
          <w:b/>
          <w:lang w:val="lt-LT"/>
        </w:rPr>
      </w:pPr>
      <w:r w:rsidRPr="00CE7124">
        <w:rPr>
          <w:b/>
          <w:lang w:val="lt-LT"/>
        </w:rPr>
        <w:t xml:space="preserve">          </w:t>
      </w:r>
      <w:r w:rsidRPr="00577364">
        <w:rPr>
          <w:b/>
          <w:lang w:val="en-US"/>
        </w:rPr>
        <w:t xml:space="preserve">I. </w:t>
      </w:r>
      <w:r w:rsidR="00CD0359" w:rsidRPr="00577364">
        <w:rPr>
          <w:b/>
          <w:lang w:val="en-US"/>
        </w:rPr>
        <w:t xml:space="preserve">Informacija apie </w:t>
      </w:r>
      <w:r w:rsidR="0070715A">
        <w:rPr>
          <w:b/>
          <w:lang w:val="lt-LT"/>
        </w:rPr>
        <w:t>įstaigos vadovą.</w:t>
      </w:r>
    </w:p>
    <w:p w:rsidR="00CD0359" w:rsidRDefault="00CD0359">
      <w:pPr>
        <w:rPr>
          <w:lang w:val="lt-LT"/>
        </w:rPr>
      </w:pPr>
    </w:p>
    <w:p w:rsidR="005B3027" w:rsidRDefault="005B3027" w:rsidP="005B3027">
      <w:pPr>
        <w:ind w:left="567" w:right="-1" w:firstLine="1053"/>
        <w:jc w:val="both"/>
        <w:rPr>
          <w:lang w:val="lt-LT"/>
        </w:rPr>
      </w:pPr>
      <w:r>
        <w:rPr>
          <w:lang w:val="lt-LT"/>
        </w:rPr>
        <w:t xml:space="preserve">Įstaigos vadovas – vyriausiasis gydytojas Algirdas Klimaitis, dirba  pagal </w:t>
      </w:r>
      <w:r w:rsidR="00444F0C">
        <w:rPr>
          <w:lang w:val="lt-LT"/>
        </w:rPr>
        <w:t>2018</w:t>
      </w:r>
      <w:r w:rsidR="005C623D">
        <w:rPr>
          <w:lang w:val="lt-LT"/>
        </w:rPr>
        <w:t xml:space="preserve"> m. liepos 19 d. darbo sutartį Nr. </w:t>
      </w:r>
      <w:r w:rsidR="00FF2EED">
        <w:rPr>
          <w:lang w:val="lt-LT"/>
        </w:rPr>
        <w:t>DS-70, sudarytą</w:t>
      </w:r>
      <w:r>
        <w:rPr>
          <w:lang w:val="lt-LT"/>
        </w:rPr>
        <w:t xml:space="preserve"> su Šakių raj</w:t>
      </w:r>
      <w:r w:rsidR="005C623D">
        <w:rPr>
          <w:lang w:val="lt-LT"/>
        </w:rPr>
        <w:t>ono Savivaldybės meru.</w:t>
      </w:r>
    </w:p>
    <w:p w:rsidR="008548C4" w:rsidRDefault="005B3027" w:rsidP="005B3027">
      <w:pPr>
        <w:ind w:left="567" w:right="-1" w:firstLine="1053"/>
        <w:jc w:val="both"/>
        <w:rPr>
          <w:lang w:val="lt-LT"/>
        </w:rPr>
      </w:pPr>
      <w:r>
        <w:rPr>
          <w:lang w:val="lt-LT"/>
        </w:rPr>
        <w:t>Vadybinio darbo ir vadovavimo asmens sveikatos</w:t>
      </w:r>
      <w:r w:rsidR="006B4EAD">
        <w:rPr>
          <w:lang w:val="lt-LT"/>
        </w:rPr>
        <w:t xml:space="preserve"> priežiūros įstaigai stažas – 33</w:t>
      </w:r>
      <w:r>
        <w:rPr>
          <w:lang w:val="lt-LT"/>
        </w:rPr>
        <w:t xml:space="preserve"> metai. </w:t>
      </w:r>
      <w:r w:rsidRPr="00CE7124">
        <w:rPr>
          <w:lang w:val="lt-LT"/>
        </w:rPr>
        <w:t>1980</w:t>
      </w:r>
      <w:r w:rsidR="00B67066" w:rsidRPr="00CE7124">
        <w:rPr>
          <w:lang w:val="lt-LT"/>
        </w:rPr>
        <w:t xml:space="preserve"> </w:t>
      </w:r>
      <w:r w:rsidRPr="00CE7124">
        <w:rPr>
          <w:lang w:val="lt-LT"/>
        </w:rPr>
        <w:t>m</w:t>
      </w:r>
      <w:r w:rsidR="00B67066" w:rsidRPr="00CE7124">
        <w:rPr>
          <w:lang w:val="lt-LT"/>
        </w:rPr>
        <w:t>.</w:t>
      </w:r>
      <w:r w:rsidRPr="00CE7124">
        <w:rPr>
          <w:lang w:val="lt-LT"/>
        </w:rPr>
        <w:t>, baig</w:t>
      </w:r>
      <w:r>
        <w:rPr>
          <w:lang w:val="lt-LT"/>
        </w:rPr>
        <w:t>ęs tuometinį Kauno medicinos institutą (dabar – Lietuvos sveikatos mokslų universitetas</w:t>
      </w:r>
      <w:r w:rsidR="00B67066">
        <w:rPr>
          <w:lang w:val="lt-LT"/>
        </w:rPr>
        <w:t>)</w:t>
      </w:r>
      <w:r>
        <w:rPr>
          <w:lang w:val="lt-LT"/>
        </w:rPr>
        <w:t xml:space="preserve"> ir įgij</w:t>
      </w:r>
      <w:r w:rsidR="00B67066">
        <w:rPr>
          <w:lang w:val="lt-LT"/>
        </w:rPr>
        <w:t>ęs gydytojo chirurgo specialybę</w:t>
      </w:r>
      <w:r>
        <w:rPr>
          <w:lang w:val="lt-LT"/>
        </w:rPr>
        <w:t xml:space="preserve">, grįžo dirbti į savo kraštą, Šakių ligoninę. Nuo </w:t>
      </w:r>
      <w:r w:rsidR="00444F0C" w:rsidRPr="00CE7124">
        <w:rPr>
          <w:lang w:val="lt-LT"/>
        </w:rPr>
        <w:t>1984 iki 198</w:t>
      </w:r>
      <w:r w:rsidRPr="00CE7124">
        <w:rPr>
          <w:lang w:val="lt-LT"/>
        </w:rPr>
        <w:t>8 met</w:t>
      </w:r>
      <w:r>
        <w:rPr>
          <w:lang w:val="lt-LT"/>
        </w:rPr>
        <w:t xml:space="preserve">ų dirbo ligoninės vyr. gydytojo pavaduotoju gydymo reikalams. Nuo </w:t>
      </w:r>
      <w:r w:rsidRPr="00CE7124">
        <w:rPr>
          <w:lang w:val="lt-LT"/>
        </w:rPr>
        <w:t>1991 met</w:t>
      </w:r>
      <w:r>
        <w:rPr>
          <w:lang w:val="lt-LT"/>
        </w:rPr>
        <w:t>ų yra ligoninės vy</w:t>
      </w:r>
      <w:r w:rsidR="002540F3">
        <w:rPr>
          <w:lang w:val="lt-LT"/>
        </w:rPr>
        <w:t>riausiasis gydytojas.</w:t>
      </w:r>
      <w:r>
        <w:rPr>
          <w:lang w:val="lt-LT"/>
        </w:rPr>
        <w:t xml:space="preserve"> </w:t>
      </w:r>
    </w:p>
    <w:p w:rsidR="00444F0C" w:rsidRDefault="00444F0C" w:rsidP="005B3027">
      <w:pPr>
        <w:ind w:left="567" w:right="-1" w:firstLine="1053"/>
        <w:jc w:val="both"/>
        <w:rPr>
          <w:lang w:val="lt-LT"/>
        </w:rPr>
      </w:pPr>
      <w:r>
        <w:rPr>
          <w:lang w:val="lt-LT"/>
        </w:rPr>
        <w:t xml:space="preserve">Per </w:t>
      </w:r>
      <w:r w:rsidR="003E580E">
        <w:rPr>
          <w:lang w:val="lt-LT"/>
        </w:rPr>
        <w:t>ataskaitinius metus dalyvauta 5</w:t>
      </w:r>
      <w:r>
        <w:rPr>
          <w:lang w:val="lt-LT"/>
        </w:rPr>
        <w:t xml:space="preserve"> val.  kvalifikacijos kėl</w:t>
      </w:r>
      <w:r w:rsidR="003E580E">
        <w:rPr>
          <w:lang w:val="lt-LT"/>
        </w:rPr>
        <w:t>imo kursuose, sveikatos politikos formavimo ir įgyvendinimo srityje „</w:t>
      </w:r>
      <w:r w:rsidR="00101827">
        <w:rPr>
          <w:lang w:val="lt-LT"/>
        </w:rPr>
        <w:t xml:space="preserve"> </w:t>
      </w:r>
      <w:r w:rsidR="003E580E">
        <w:rPr>
          <w:lang w:val="lt-LT"/>
        </w:rPr>
        <w:t>Sveikatos sistemos vystymo perspektyvos</w:t>
      </w:r>
      <w:r w:rsidR="00101827">
        <w:rPr>
          <w:lang w:val="lt-LT"/>
        </w:rPr>
        <w:t xml:space="preserve"> </w:t>
      </w:r>
      <w:r w:rsidR="003E580E">
        <w:rPr>
          <w:lang w:val="lt-LT"/>
        </w:rPr>
        <w:t>“.</w:t>
      </w:r>
    </w:p>
    <w:p w:rsidR="005B3027" w:rsidRPr="005B3027" w:rsidRDefault="003C3B56" w:rsidP="005B3027">
      <w:pPr>
        <w:ind w:left="567" w:right="-1" w:firstLine="1053"/>
        <w:jc w:val="both"/>
        <w:rPr>
          <w:lang w:val="lt-LT"/>
        </w:rPr>
      </w:pPr>
      <w:r>
        <w:rPr>
          <w:lang w:val="lt-LT"/>
        </w:rPr>
        <w:t xml:space="preserve">  </w:t>
      </w:r>
    </w:p>
    <w:p w:rsidR="00CD0359" w:rsidRPr="00577364" w:rsidRDefault="0070715A">
      <w:pPr>
        <w:rPr>
          <w:b/>
          <w:lang w:val="lt-LT"/>
        </w:rPr>
      </w:pPr>
      <w:r>
        <w:rPr>
          <w:b/>
          <w:lang w:val="lt-LT"/>
        </w:rPr>
        <w:t xml:space="preserve">         </w:t>
      </w:r>
      <w:r w:rsidR="00577364" w:rsidRPr="00577364">
        <w:rPr>
          <w:b/>
          <w:lang w:val="lt-LT"/>
        </w:rPr>
        <w:t xml:space="preserve">II. </w:t>
      </w:r>
      <w:r w:rsidR="008548C4" w:rsidRPr="00577364">
        <w:rPr>
          <w:b/>
          <w:lang w:val="lt-LT"/>
        </w:rPr>
        <w:t>Įstaigos tikslai</w:t>
      </w:r>
      <w:r>
        <w:rPr>
          <w:b/>
          <w:lang w:val="lt-LT"/>
        </w:rPr>
        <w:t xml:space="preserve"> ir pagrindinės veiklos kryptys.</w:t>
      </w:r>
    </w:p>
    <w:p w:rsidR="008548C4" w:rsidRDefault="008548C4">
      <w:pPr>
        <w:rPr>
          <w:lang w:val="lt-LT"/>
        </w:rPr>
      </w:pPr>
    </w:p>
    <w:p w:rsidR="0070661A" w:rsidRDefault="004D3572" w:rsidP="0070661A">
      <w:pPr>
        <w:ind w:left="567" w:right="-1" w:firstLine="1053"/>
        <w:jc w:val="both"/>
        <w:rPr>
          <w:lang w:val="lt-LT"/>
        </w:rPr>
      </w:pPr>
      <w:r>
        <w:rPr>
          <w:lang w:val="lt-LT"/>
        </w:rPr>
        <w:t xml:space="preserve"> Per 2020</w:t>
      </w:r>
      <w:r w:rsidR="0070661A">
        <w:rPr>
          <w:lang w:val="lt-LT"/>
        </w:rPr>
        <w:t xml:space="preserve"> metus ligoninės veiklos krypt</w:t>
      </w:r>
      <w:r w:rsidR="00D31F75">
        <w:rPr>
          <w:lang w:val="lt-LT"/>
        </w:rPr>
        <w:t>is esmingai pakoregavo prasidėjusi koronainfekcijos (Covid-19) pandemija ir dėl šios priežasties įvesta ekstremalioji situacija valstybėje.  Atsirado organizaciniai pagalbos teikimo pertvarkymo poreikiai. Ligoninė buvo priskirta Kauno regiono ligoninių tinklui, ku</w:t>
      </w:r>
      <w:r w:rsidR="006B4EAD">
        <w:rPr>
          <w:lang w:val="lt-LT"/>
        </w:rPr>
        <w:t>riam metodiškai vadovavo LSMU</w:t>
      </w:r>
      <w:r w:rsidR="009934A9">
        <w:rPr>
          <w:lang w:val="lt-LT"/>
        </w:rPr>
        <w:t xml:space="preserve"> K</w:t>
      </w:r>
      <w:r w:rsidR="00D31F75">
        <w:rPr>
          <w:lang w:val="lt-LT"/>
        </w:rPr>
        <w:t>auno klinikos. Mūsų ligoninei regione buvo paskirtas nekovidinės ligoninės vaidmuo, t.y., ligoninė</w:t>
      </w:r>
      <w:r w:rsidR="006B4EAD">
        <w:rPr>
          <w:lang w:val="lt-LT"/>
        </w:rPr>
        <w:t>s</w:t>
      </w:r>
      <w:r w:rsidR="00D31F75">
        <w:rPr>
          <w:lang w:val="lt-LT"/>
        </w:rPr>
        <w:t xml:space="preserve">, kurioje nebūtų stacionarizuojami koronainfekcija sergantys ligoniai. </w:t>
      </w:r>
      <w:r w:rsidR="00AA02CC">
        <w:rPr>
          <w:lang w:val="lt-LT"/>
        </w:rPr>
        <w:t xml:space="preserve"> Vienas ir pagrindinių ligoninės</w:t>
      </w:r>
      <w:r w:rsidR="00D31F75">
        <w:rPr>
          <w:lang w:val="lt-LT"/>
        </w:rPr>
        <w:t xml:space="preserve"> administracijos uždavini</w:t>
      </w:r>
      <w:r w:rsidR="00AA02CC">
        <w:rPr>
          <w:lang w:val="lt-LT"/>
        </w:rPr>
        <w:t>ų</w:t>
      </w:r>
      <w:r w:rsidR="00D31F75">
        <w:rPr>
          <w:lang w:val="lt-LT"/>
        </w:rPr>
        <w:t xml:space="preserve"> – išvengti infekuotų, sergančių Covid-19 </w:t>
      </w:r>
      <w:r w:rsidR="00AA02CC">
        <w:rPr>
          <w:lang w:val="lt-LT"/>
        </w:rPr>
        <w:t xml:space="preserve">pacientų patekimo </w:t>
      </w:r>
      <w:r w:rsidR="00DF64A7">
        <w:rPr>
          <w:lang w:val="lt-LT"/>
        </w:rPr>
        <w:t>į staciona</w:t>
      </w:r>
      <w:r w:rsidR="006B4EAD">
        <w:rPr>
          <w:lang w:val="lt-LT"/>
        </w:rPr>
        <w:t>rinius skyrius. Deja, to</w:t>
      </w:r>
      <w:r w:rsidR="00DF64A7">
        <w:rPr>
          <w:lang w:val="lt-LT"/>
        </w:rPr>
        <w:t xml:space="preserve"> nepavyko sėkmingai įgyvendinti. Jei pirmosios infekcijos bangos metu</w:t>
      </w:r>
      <w:r w:rsidR="006B4EAD">
        <w:rPr>
          <w:lang w:val="lt-LT"/>
        </w:rPr>
        <w:t xml:space="preserve"> 2020 m. pavasarį</w:t>
      </w:r>
      <w:r w:rsidR="00DF64A7">
        <w:rPr>
          <w:lang w:val="lt-LT"/>
        </w:rPr>
        <w:t xml:space="preserve"> išvengėme vidaus infekcijos protrūkio, tai antros bangos metu, rudens-žiemos laikotarpiu</w:t>
      </w:r>
      <w:r w:rsidR="006B4EAD">
        <w:rPr>
          <w:lang w:val="lt-LT"/>
        </w:rPr>
        <w:t>,</w:t>
      </w:r>
      <w:r w:rsidR="00DF64A7">
        <w:rPr>
          <w:lang w:val="lt-LT"/>
        </w:rPr>
        <w:t xml:space="preserve"> įvyko infekcijos protrūkiai slaugos ir palaikomojo gydymo ir terapijos skyriuose.</w:t>
      </w:r>
    </w:p>
    <w:p w:rsidR="00DF64A7" w:rsidRDefault="00DF64A7" w:rsidP="0070661A">
      <w:pPr>
        <w:ind w:left="567" w:right="-1" w:firstLine="1053"/>
        <w:jc w:val="both"/>
        <w:rPr>
          <w:lang w:val="lt-LT"/>
        </w:rPr>
      </w:pPr>
      <w:r>
        <w:rPr>
          <w:lang w:val="lt-LT"/>
        </w:rPr>
        <w:t xml:space="preserve">Ligoninėje buvo iš </w:t>
      </w:r>
      <w:r w:rsidR="009934A9">
        <w:rPr>
          <w:lang w:val="lt-LT"/>
        </w:rPr>
        <w:t>esmės pert</w:t>
      </w:r>
      <w:r>
        <w:rPr>
          <w:lang w:val="lt-LT"/>
        </w:rPr>
        <w:t>varkytas priėmimo-skubiosios pagalbos skyriaus darbas, griežtai atskiriant karščiuojančių ir nek</w:t>
      </w:r>
      <w:r w:rsidR="00AA02CC">
        <w:rPr>
          <w:lang w:val="lt-LT"/>
        </w:rPr>
        <w:t>arščiuojančių ligonių srautas,</w:t>
      </w:r>
      <w:r>
        <w:rPr>
          <w:lang w:val="lt-LT"/>
        </w:rPr>
        <w:t xml:space="preserve"> išplėstas ir papildomai aprūpintas technologijomis izoliatorius. Vaikų ligų skyriaus patalpose įrengtas izoliacinis skyrius (palatos), kuriame išplėstas deguonies vietų skaičius, įrengta</w:t>
      </w:r>
      <w:r w:rsidR="00216F35">
        <w:rPr>
          <w:lang w:val="lt-LT"/>
        </w:rPr>
        <w:t xml:space="preserve"> palatinės signalizacijos sistema. Šiame aukšte buvo guldomi visi skubia tvarka patekę į ligoninę pacientai, kuriems buvo reikalingas stacionarinis gydymas, ir gavus neigiamą Civid-19 testo ats</w:t>
      </w:r>
      <w:r w:rsidR="009934A9">
        <w:rPr>
          <w:lang w:val="lt-LT"/>
        </w:rPr>
        <w:t>akymą</w:t>
      </w:r>
      <w:r w:rsidR="006B4EAD">
        <w:rPr>
          <w:lang w:val="lt-LT"/>
        </w:rPr>
        <w:t>,</w:t>
      </w:r>
      <w:r w:rsidR="009934A9">
        <w:rPr>
          <w:lang w:val="lt-LT"/>
        </w:rPr>
        <w:t xml:space="preserve"> šie pacientai buvo hospitalizuojami</w:t>
      </w:r>
      <w:r w:rsidR="00216F35">
        <w:rPr>
          <w:lang w:val="lt-LT"/>
        </w:rPr>
        <w:t xml:space="preserve"> į atitinkamo profilio stacionarinį skyrių. Taip pa</w:t>
      </w:r>
      <w:r w:rsidR="006B4EAD">
        <w:rPr>
          <w:lang w:val="lt-LT"/>
        </w:rPr>
        <w:t>t buvo</w:t>
      </w:r>
      <w:r w:rsidR="00216F35">
        <w:rPr>
          <w:lang w:val="lt-LT"/>
        </w:rPr>
        <w:t xml:space="preserve"> apjungti</w:t>
      </w:r>
      <w:r w:rsidR="006B4EAD">
        <w:rPr>
          <w:lang w:val="lt-LT"/>
        </w:rPr>
        <w:t xml:space="preserve"> į vieną administravimo vienetą</w:t>
      </w:r>
      <w:r w:rsidR="00216F35">
        <w:rPr>
          <w:lang w:val="lt-LT"/>
        </w:rPr>
        <w:t xml:space="preserve"> nervų ir vidaus ligų skyriai, į kuriuos buvo hospitaliz</w:t>
      </w:r>
      <w:r w:rsidR="009934A9">
        <w:rPr>
          <w:lang w:val="lt-LT"/>
        </w:rPr>
        <w:t>uojami ir</w:t>
      </w:r>
      <w:r w:rsidR="00216F35">
        <w:rPr>
          <w:lang w:val="lt-LT"/>
        </w:rPr>
        <w:t xml:space="preserve"> vaikai.</w:t>
      </w:r>
    </w:p>
    <w:p w:rsidR="00216F35" w:rsidRDefault="00216F35" w:rsidP="0070661A">
      <w:pPr>
        <w:ind w:left="567" w:right="-1" w:firstLine="1053"/>
        <w:jc w:val="both"/>
        <w:rPr>
          <w:lang w:val="lt-LT"/>
        </w:rPr>
      </w:pPr>
      <w:r>
        <w:rPr>
          <w:lang w:val="lt-LT"/>
        </w:rPr>
        <w:t>Metų pradžioje susidurta su ryškiu asmens apsaugos priemonių stygiumi. Per keletą mėnesių ši padėtis pagerėjo, tačiau nors rinkoje šių priemonių atsirado, ryškiai padidėjo jų kaina.</w:t>
      </w:r>
    </w:p>
    <w:p w:rsidR="00216F35" w:rsidRDefault="00216F35" w:rsidP="00D86179">
      <w:pPr>
        <w:ind w:left="567" w:right="-1" w:firstLine="1053"/>
        <w:rPr>
          <w:lang w:val="lt-LT"/>
        </w:rPr>
      </w:pPr>
      <w:r>
        <w:rPr>
          <w:lang w:val="lt-LT"/>
        </w:rPr>
        <w:t>Administracijai teko susidurti</w:t>
      </w:r>
      <w:r w:rsidR="00D86179">
        <w:rPr>
          <w:lang w:val="lt-LT"/>
        </w:rPr>
        <w:t xml:space="preserve"> su dideliu</w:t>
      </w:r>
      <w:r w:rsidR="009934A9">
        <w:rPr>
          <w:lang w:val="lt-LT"/>
        </w:rPr>
        <w:t xml:space="preserve"> personalo psichologiniu stresu bei jį suvaldyti</w:t>
      </w:r>
      <w:r w:rsidR="00101827">
        <w:rPr>
          <w:lang w:val="lt-LT"/>
        </w:rPr>
        <w:t>.</w:t>
      </w:r>
      <w:r w:rsidR="00D86179">
        <w:rPr>
          <w:lang w:val="lt-LT"/>
        </w:rPr>
        <w:t xml:space="preserve"> Neišvengta ir susirgimų Covid-19 tarp personalo. Per 2020 metus sirgo apie 23 proc. ligoninės personalo</w:t>
      </w:r>
      <w:r w:rsidR="009934A9">
        <w:rPr>
          <w:lang w:val="lt-LT"/>
        </w:rPr>
        <w:t xml:space="preserve"> darbuotojų</w:t>
      </w:r>
      <w:r w:rsidR="00D86179">
        <w:rPr>
          <w:lang w:val="lt-LT"/>
        </w:rPr>
        <w:t>. Metų pabaigoje, gavus vakcinų prieš Covid-19, paskiepyti pirmąja doze 65 darbuotojai.</w:t>
      </w:r>
    </w:p>
    <w:p w:rsidR="00D86179" w:rsidRDefault="00D86179" w:rsidP="00D86179">
      <w:pPr>
        <w:ind w:left="567" w:right="-1" w:firstLine="1053"/>
        <w:rPr>
          <w:lang w:val="lt-LT"/>
        </w:rPr>
      </w:pPr>
      <w:r>
        <w:rPr>
          <w:lang w:val="lt-LT"/>
        </w:rPr>
        <w:t xml:space="preserve">Pandemijos sąlygomis pastebėtas ir </w:t>
      </w:r>
      <w:r w:rsidR="009934A9">
        <w:rPr>
          <w:lang w:val="lt-LT"/>
        </w:rPr>
        <w:t xml:space="preserve">sumažėjęs gyventojų </w:t>
      </w:r>
      <w:r>
        <w:rPr>
          <w:lang w:val="lt-LT"/>
        </w:rPr>
        <w:t xml:space="preserve"> kreipimasis į ligoninę dėl įvairios patologijos, todėl turėjome daugiau užleistų ligų, jų komplikacijų atvejų. Buvo daugiau pacientų iš Jurbarko ir Marijampolės savivaldybių, nes šių rajonų ligoninės buvo priskirtos prie Covid-19 liga sergančiųjų</w:t>
      </w:r>
      <w:r w:rsidR="00193FB3">
        <w:rPr>
          <w:lang w:val="lt-LT"/>
        </w:rPr>
        <w:t xml:space="preserve"> stacionarinio gydymo įstaigų.</w:t>
      </w:r>
    </w:p>
    <w:p w:rsidR="004C10DA" w:rsidRDefault="004C10DA" w:rsidP="0070661A">
      <w:pPr>
        <w:ind w:left="567" w:right="-1" w:firstLine="1053"/>
        <w:jc w:val="both"/>
        <w:rPr>
          <w:lang w:val="lt-LT"/>
        </w:rPr>
      </w:pPr>
      <w:r>
        <w:rPr>
          <w:lang w:val="lt-LT"/>
        </w:rPr>
        <w:t>Nuolatiniu administracijos veiklos tikslu buvo reikiamų specialistų paieška darbui ligoninėje, personalo darbo apmokėjimo klausimai.</w:t>
      </w:r>
    </w:p>
    <w:p w:rsidR="003259AF" w:rsidRDefault="004D3572" w:rsidP="003259AF">
      <w:pPr>
        <w:ind w:left="567" w:right="-1" w:firstLine="1053"/>
        <w:jc w:val="both"/>
        <w:rPr>
          <w:lang w:val="lt-LT"/>
        </w:rPr>
      </w:pPr>
      <w:r>
        <w:rPr>
          <w:lang w:val="lt-LT"/>
        </w:rPr>
        <w:t>2020</w:t>
      </w:r>
      <w:r w:rsidR="003259AF">
        <w:rPr>
          <w:lang w:val="lt-LT"/>
        </w:rPr>
        <w:t>-ųjų met</w:t>
      </w:r>
      <w:r w:rsidR="00FA66DC">
        <w:rPr>
          <w:lang w:val="lt-LT"/>
        </w:rPr>
        <w:t>ų pradžioje</w:t>
      </w:r>
      <w:r w:rsidR="007A635D">
        <w:rPr>
          <w:lang w:val="lt-LT"/>
        </w:rPr>
        <w:t xml:space="preserve"> </w:t>
      </w:r>
      <w:r>
        <w:rPr>
          <w:lang w:val="lt-LT"/>
        </w:rPr>
        <w:t>ligoninėje dirbo 276</w:t>
      </w:r>
      <w:r w:rsidR="00633359">
        <w:rPr>
          <w:lang w:val="lt-LT"/>
        </w:rPr>
        <w:t xml:space="preserve"> darbuotojai, </w:t>
      </w:r>
      <w:r>
        <w:rPr>
          <w:lang w:val="lt-LT"/>
        </w:rPr>
        <w:t>pabaigoje – 269, iš jų: 230 moterys ir 39</w:t>
      </w:r>
      <w:r w:rsidR="003259AF">
        <w:rPr>
          <w:lang w:val="lt-LT"/>
        </w:rPr>
        <w:t xml:space="preserve"> vyrai. Per ataskaitin</w:t>
      </w:r>
      <w:r>
        <w:rPr>
          <w:lang w:val="lt-LT"/>
        </w:rPr>
        <w:t>į laikotarpį ligoninėje dirbo 64 gydytojai ir 106</w:t>
      </w:r>
      <w:r w:rsidR="0058054C">
        <w:rPr>
          <w:lang w:val="lt-LT"/>
        </w:rPr>
        <w:t xml:space="preserve"> slaugytojų</w:t>
      </w:r>
      <w:r w:rsidR="003259AF">
        <w:rPr>
          <w:lang w:val="lt-LT"/>
        </w:rPr>
        <w:t xml:space="preserve">. </w:t>
      </w:r>
    </w:p>
    <w:p w:rsidR="00036C72" w:rsidRDefault="00036C72" w:rsidP="00036C72">
      <w:pPr>
        <w:ind w:left="567" w:right="-1" w:firstLine="1053"/>
        <w:jc w:val="both"/>
        <w:rPr>
          <w:lang w:val="lt-LT"/>
        </w:rPr>
      </w:pPr>
      <w:r>
        <w:rPr>
          <w:lang w:val="lt-LT"/>
        </w:rPr>
        <w:lastRenderedPageBreak/>
        <w:t>Per ataskaiti</w:t>
      </w:r>
      <w:r w:rsidR="004D3572">
        <w:rPr>
          <w:lang w:val="lt-LT"/>
        </w:rPr>
        <w:t>nį laikotarpį ligoninėje buvo 11</w:t>
      </w:r>
      <w:r>
        <w:rPr>
          <w:lang w:val="lt-LT"/>
        </w:rPr>
        <w:t>5</w:t>
      </w:r>
      <w:r w:rsidR="00496766">
        <w:rPr>
          <w:lang w:val="lt-LT"/>
        </w:rPr>
        <w:t xml:space="preserve"> lovų</w:t>
      </w:r>
      <w:r w:rsidR="00FF2EED">
        <w:rPr>
          <w:lang w:val="lt-LT"/>
        </w:rPr>
        <w:t>, iš jų</w:t>
      </w:r>
      <w:r>
        <w:rPr>
          <w:lang w:val="lt-LT"/>
        </w:rPr>
        <w:t xml:space="preserve"> – 60  palaikomojo gydymo ir slaugos profilio lovos.</w:t>
      </w:r>
    </w:p>
    <w:p w:rsidR="003259AF" w:rsidRDefault="004D3572" w:rsidP="00036C72">
      <w:pPr>
        <w:ind w:left="567" w:right="-1" w:firstLine="1053"/>
        <w:jc w:val="both"/>
        <w:rPr>
          <w:lang w:val="lt-LT"/>
        </w:rPr>
      </w:pPr>
      <w:r>
        <w:rPr>
          <w:lang w:val="lt-LT"/>
        </w:rPr>
        <w:t>2020 metais stacionare gydyti 2211</w:t>
      </w:r>
      <w:r w:rsidR="00496766">
        <w:rPr>
          <w:lang w:val="lt-LT"/>
        </w:rPr>
        <w:t xml:space="preserve"> pacientų</w:t>
      </w:r>
      <w:r>
        <w:rPr>
          <w:lang w:val="lt-LT"/>
        </w:rPr>
        <w:t xml:space="preserve"> (2019 m. - 3191</w:t>
      </w:r>
      <w:r w:rsidR="00496766">
        <w:rPr>
          <w:lang w:val="lt-LT"/>
        </w:rPr>
        <w:t xml:space="preserve"> pacientas</w:t>
      </w:r>
      <w:r w:rsidR="00F301A5">
        <w:rPr>
          <w:lang w:val="lt-LT"/>
        </w:rPr>
        <w:t xml:space="preserve">). </w:t>
      </w:r>
    </w:p>
    <w:p w:rsidR="007D7019" w:rsidRDefault="004D3572" w:rsidP="007D7019">
      <w:pPr>
        <w:ind w:left="567" w:right="-1" w:firstLine="1053"/>
        <w:jc w:val="both"/>
        <w:rPr>
          <w:lang w:val="lt-LT"/>
        </w:rPr>
      </w:pPr>
      <w:r>
        <w:rPr>
          <w:lang w:val="lt-LT"/>
        </w:rPr>
        <w:t>Stacionare per 2020 metus mirė 185</w:t>
      </w:r>
      <w:r w:rsidR="00F40914">
        <w:rPr>
          <w:lang w:val="lt-LT"/>
        </w:rPr>
        <w:t xml:space="preserve"> ligoniai, iš jų - </w:t>
      </w:r>
      <w:r>
        <w:rPr>
          <w:lang w:val="lt-LT"/>
        </w:rPr>
        <w:t>112</w:t>
      </w:r>
      <w:r w:rsidR="007D7019">
        <w:rPr>
          <w:lang w:val="lt-LT"/>
        </w:rPr>
        <w:t xml:space="preserve"> gydyti palaikomojo gydymo ir slaugos profilyje. Sta</w:t>
      </w:r>
      <w:r w:rsidR="003B712A">
        <w:rPr>
          <w:lang w:val="lt-LT"/>
        </w:rPr>
        <w:t xml:space="preserve">cionaro </w:t>
      </w:r>
      <w:r w:rsidR="007A635D">
        <w:rPr>
          <w:lang w:val="lt-LT"/>
        </w:rPr>
        <w:t xml:space="preserve">aktyvaus gydymo profilio </w:t>
      </w:r>
      <w:r w:rsidR="00B75B97">
        <w:rPr>
          <w:lang w:val="lt-LT"/>
        </w:rPr>
        <w:t>letališkumo rodiklis</w:t>
      </w:r>
      <w:r w:rsidR="00F301A5">
        <w:rPr>
          <w:lang w:val="lt-LT"/>
        </w:rPr>
        <w:t xml:space="preserve"> -</w:t>
      </w:r>
      <w:r w:rsidR="00B75B97">
        <w:rPr>
          <w:lang w:val="lt-LT"/>
        </w:rPr>
        <w:t xml:space="preserve"> 5</w:t>
      </w:r>
      <w:r w:rsidR="007D7019">
        <w:rPr>
          <w:lang w:val="lt-LT"/>
        </w:rPr>
        <w:t>. Bendras mirtingumas su palaikomoj</w:t>
      </w:r>
      <w:r w:rsidR="00F301A5">
        <w:rPr>
          <w:lang w:val="lt-LT"/>
        </w:rPr>
        <w:t xml:space="preserve">o gydymo ir slaugos profiliu - </w:t>
      </w:r>
      <w:r>
        <w:rPr>
          <w:lang w:val="lt-LT"/>
        </w:rPr>
        <w:t>8</w:t>
      </w:r>
      <w:r w:rsidR="007D7019">
        <w:rPr>
          <w:lang w:val="lt-LT"/>
        </w:rPr>
        <w:t xml:space="preserve">. Ligoninėje per metus </w:t>
      </w:r>
      <w:r w:rsidR="0058054C">
        <w:rPr>
          <w:lang w:val="lt-LT"/>
        </w:rPr>
        <w:t>stacionaro sąlygomis atliktos</w:t>
      </w:r>
      <w:r>
        <w:rPr>
          <w:lang w:val="lt-LT"/>
        </w:rPr>
        <w:t xml:space="preserve"> 587 operacijos ir 577</w:t>
      </w:r>
      <w:r w:rsidR="007D7019">
        <w:rPr>
          <w:lang w:val="lt-LT"/>
        </w:rPr>
        <w:t xml:space="preserve"> ambulatorinės operacijos.</w:t>
      </w:r>
    </w:p>
    <w:p w:rsidR="008548C4" w:rsidRDefault="008548C4">
      <w:pPr>
        <w:rPr>
          <w:lang w:val="lt-LT"/>
        </w:rPr>
      </w:pPr>
    </w:p>
    <w:p w:rsidR="007D7019" w:rsidRPr="005336B0" w:rsidRDefault="0070715A">
      <w:pPr>
        <w:rPr>
          <w:b/>
          <w:lang w:val="lt-LT"/>
        </w:rPr>
      </w:pPr>
      <w:r>
        <w:rPr>
          <w:b/>
          <w:lang w:val="lt-LT"/>
        </w:rPr>
        <w:t xml:space="preserve">         </w:t>
      </w:r>
      <w:r w:rsidR="005336B0" w:rsidRPr="005336B0">
        <w:rPr>
          <w:b/>
          <w:lang w:val="lt-LT"/>
        </w:rPr>
        <w:t xml:space="preserve">III. </w:t>
      </w:r>
      <w:r w:rsidR="007D7019" w:rsidRPr="005336B0">
        <w:rPr>
          <w:b/>
          <w:lang w:val="lt-LT"/>
        </w:rPr>
        <w:t>Infor</w:t>
      </w:r>
      <w:r>
        <w:rPr>
          <w:b/>
          <w:lang w:val="lt-LT"/>
        </w:rPr>
        <w:t>mac</w:t>
      </w:r>
      <w:r w:rsidR="00FF2EED">
        <w:rPr>
          <w:b/>
          <w:lang w:val="lt-LT"/>
        </w:rPr>
        <w:t>ija apie veiklos užduočių vykdymą.</w:t>
      </w:r>
    </w:p>
    <w:p w:rsidR="007D7019" w:rsidRDefault="007D7019">
      <w:pPr>
        <w:rPr>
          <w:lang w:val="lt-LT"/>
        </w:rPr>
      </w:pPr>
    </w:p>
    <w:p w:rsidR="00101827" w:rsidRDefault="007D7019" w:rsidP="00233FDB">
      <w:pPr>
        <w:ind w:left="567" w:right="-1"/>
        <w:jc w:val="both"/>
        <w:rPr>
          <w:lang w:val="lt-LT"/>
        </w:rPr>
      </w:pPr>
      <w:r>
        <w:rPr>
          <w:lang w:val="lt-LT"/>
        </w:rPr>
        <w:t xml:space="preserve">         </w:t>
      </w:r>
      <w:r w:rsidR="00233FDB">
        <w:rPr>
          <w:lang w:val="lt-LT"/>
        </w:rPr>
        <w:t xml:space="preserve">                 Steig</w:t>
      </w:r>
      <w:r w:rsidR="003B712A">
        <w:rPr>
          <w:lang w:val="lt-LT"/>
        </w:rPr>
        <w:t xml:space="preserve">ėjas buvo </w:t>
      </w:r>
      <w:r w:rsidR="00F301A5">
        <w:rPr>
          <w:lang w:val="lt-LT"/>
        </w:rPr>
        <w:t>nustatęs įstaigai 2020</w:t>
      </w:r>
      <w:r w:rsidR="00233FDB">
        <w:rPr>
          <w:lang w:val="lt-LT"/>
        </w:rPr>
        <w:t xml:space="preserve"> metams veiklos užduotis, kurių vykdymas aptartas šioje veiklos ataskaitoje.  Apie užduočių įvykdymą informacija pateikiama </w:t>
      </w:r>
      <w:r w:rsidR="00C5224D">
        <w:rPr>
          <w:lang w:val="lt-LT"/>
        </w:rPr>
        <w:t>lentelėje</w:t>
      </w:r>
      <w:r w:rsidR="00233FDB">
        <w:rPr>
          <w:lang w:val="lt-LT"/>
        </w:rPr>
        <w:t>:</w:t>
      </w:r>
    </w:p>
    <w:p w:rsidR="00233FDB" w:rsidRDefault="00233FDB" w:rsidP="00233FDB">
      <w:pPr>
        <w:ind w:left="567" w:right="-1"/>
        <w:jc w:val="both"/>
        <w:rPr>
          <w:lang w:val="lt-LT"/>
        </w:rPr>
      </w:pPr>
      <w:r>
        <w:rPr>
          <w:lang w:val="lt-LT"/>
        </w:rPr>
        <w:t xml:space="preserve"> „</w:t>
      </w:r>
      <w:r w:rsidR="00101827">
        <w:rPr>
          <w:lang w:val="lt-LT"/>
        </w:rPr>
        <w:t xml:space="preserve"> </w:t>
      </w:r>
      <w:r>
        <w:rPr>
          <w:lang w:val="lt-LT"/>
        </w:rPr>
        <w:t>Informaci</w:t>
      </w:r>
      <w:r w:rsidR="00B96168">
        <w:rPr>
          <w:lang w:val="lt-LT"/>
        </w:rPr>
        <w:t>ja apie VšĮ Š</w:t>
      </w:r>
      <w:r w:rsidR="00F301A5">
        <w:rPr>
          <w:lang w:val="lt-LT"/>
        </w:rPr>
        <w:t>akių ligoninės 2020</w:t>
      </w:r>
      <w:r>
        <w:rPr>
          <w:lang w:val="lt-LT"/>
        </w:rPr>
        <w:t xml:space="preserve"> metų veiklos užduočių </w:t>
      </w:r>
      <w:r w:rsidR="00C5224D">
        <w:rPr>
          <w:lang w:val="lt-LT"/>
        </w:rPr>
        <w:t>į</w:t>
      </w:r>
      <w:r>
        <w:rPr>
          <w:lang w:val="lt-LT"/>
        </w:rPr>
        <w:t>vykdymą</w:t>
      </w:r>
      <w:r w:rsidR="00101827">
        <w:rPr>
          <w:lang w:val="lt-LT"/>
        </w:rPr>
        <w:t xml:space="preserve"> </w:t>
      </w:r>
      <w:r>
        <w:rPr>
          <w:lang w:val="lt-LT"/>
        </w:rPr>
        <w:t xml:space="preserve">“ ir ligoninės interneto puslapyje </w:t>
      </w:r>
      <w:hyperlink r:id="rId5" w:history="1">
        <w:r w:rsidR="003360A0" w:rsidRPr="00644890">
          <w:rPr>
            <w:rStyle w:val="Hipersaitas"/>
            <w:lang w:val="lt-LT"/>
          </w:rPr>
          <w:t>www.ligonine.com</w:t>
        </w:r>
      </w:hyperlink>
      <w:r>
        <w:rPr>
          <w:lang w:val="lt-LT"/>
        </w:rPr>
        <w:t>.</w:t>
      </w:r>
    </w:p>
    <w:p w:rsidR="007D7019" w:rsidRDefault="007D7019">
      <w:pPr>
        <w:rPr>
          <w:lang w:val="lt-LT"/>
        </w:rPr>
      </w:pPr>
    </w:p>
    <w:p w:rsidR="00233FDB" w:rsidRDefault="00233FDB">
      <w:pPr>
        <w:rPr>
          <w:lang w:val="lt-LT"/>
        </w:rPr>
      </w:pPr>
    </w:p>
    <w:p w:rsidR="007A635D" w:rsidRDefault="007A635D">
      <w:pPr>
        <w:rPr>
          <w:lang w:val="lt-LT"/>
        </w:rPr>
      </w:pPr>
    </w:p>
    <w:p w:rsidR="003A2499" w:rsidRDefault="003A2499">
      <w:pPr>
        <w:rPr>
          <w:lang w:val="lt-LT"/>
        </w:rPr>
      </w:pPr>
    </w:p>
    <w:p w:rsidR="003A2499" w:rsidRDefault="003A2499">
      <w:pPr>
        <w:rPr>
          <w:lang w:val="lt-LT"/>
        </w:rPr>
      </w:pPr>
    </w:p>
    <w:p w:rsidR="00B522D8" w:rsidRDefault="00186EF8">
      <w:pPr>
        <w:rPr>
          <w:lang w:val="lt-LT"/>
        </w:rPr>
      </w:pPr>
      <w:r>
        <w:rPr>
          <w:lang w:val="lt-LT"/>
        </w:rPr>
        <w:t xml:space="preserve">         </w:t>
      </w:r>
      <w:r w:rsidR="00233FDB">
        <w:rPr>
          <w:lang w:val="lt-LT"/>
        </w:rPr>
        <w:t xml:space="preserve">Lentelė : Viešosios įstaigos Šakių ligoninės </w:t>
      </w:r>
      <w:r w:rsidR="00F301A5">
        <w:rPr>
          <w:lang w:val="lt-LT"/>
        </w:rPr>
        <w:t>2020</w:t>
      </w:r>
      <w:r w:rsidR="00233FDB" w:rsidRPr="00CE7124">
        <w:rPr>
          <w:lang w:val="lt-LT"/>
        </w:rPr>
        <w:t xml:space="preserve"> met</w:t>
      </w:r>
      <w:r w:rsidR="00233FDB">
        <w:rPr>
          <w:lang w:val="lt-LT"/>
        </w:rPr>
        <w:t>ų veiklos užduočių įvykdymas</w:t>
      </w:r>
      <w:r w:rsidR="002F0DBB">
        <w:rPr>
          <w:lang w:val="lt-LT"/>
        </w:rPr>
        <w:t>.</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3402"/>
        <w:gridCol w:w="1984"/>
      </w:tblGrid>
      <w:tr w:rsidR="00CE7124" w:rsidTr="00C61562">
        <w:trPr>
          <w:trHeight w:val="1010"/>
        </w:trPr>
        <w:tc>
          <w:tcPr>
            <w:tcW w:w="709" w:type="dxa"/>
            <w:tcBorders>
              <w:top w:val="single" w:sz="4" w:space="0" w:color="auto"/>
              <w:left w:val="single" w:sz="4" w:space="0" w:color="auto"/>
              <w:bottom w:val="single" w:sz="4" w:space="0" w:color="auto"/>
              <w:right w:val="single" w:sz="4" w:space="0" w:color="auto"/>
            </w:tcBorders>
            <w:vAlign w:val="center"/>
            <w:hideMark/>
          </w:tcPr>
          <w:p w:rsidR="00CE7124" w:rsidRDefault="00CE7124" w:rsidP="00FB4D4B">
            <w:pPr>
              <w:jc w:val="center"/>
              <w:rPr>
                <w:b/>
                <w:bCs/>
                <w:color w:val="000000"/>
              </w:rPr>
            </w:pPr>
            <w:r>
              <w:rPr>
                <w:b/>
                <w:bCs/>
                <w:color w:val="000000"/>
              </w:rPr>
              <w:t>Eil.</w:t>
            </w:r>
          </w:p>
          <w:p w:rsidR="00CE7124" w:rsidRDefault="00CE7124" w:rsidP="00FB4D4B">
            <w:pPr>
              <w:jc w:val="center"/>
              <w:rPr>
                <w:b/>
                <w:bCs/>
                <w:color w:val="000000"/>
              </w:rPr>
            </w:pPr>
            <w:r>
              <w:rPr>
                <w:b/>
                <w:bCs/>
                <w:color w:val="000000"/>
              </w:rPr>
              <w:t xml:space="preserve"> Nr.</w:t>
            </w:r>
          </w:p>
        </w:tc>
        <w:tc>
          <w:tcPr>
            <w:tcW w:w="3402" w:type="dxa"/>
            <w:tcBorders>
              <w:top w:val="single" w:sz="4" w:space="0" w:color="auto"/>
              <w:left w:val="single" w:sz="4" w:space="0" w:color="auto"/>
              <w:bottom w:val="single" w:sz="4" w:space="0" w:color="auto"/>
              <w:right w:val="single" w:sz="4" w:space="0" w:color="auto"/>
            </w:tcBorders>
            <w:noWrap/>
            <w:vAlign w:val="center"/>
            <w:hideMark/>
          </w:tcPr>
          <w:p w:rsidR="00CE7124" w:rsidRDefault="00CE7124" w:rsidP="00FB4D4B">
            <w:pPr>
              <w:jc w:val="center"/>
              <w:rPr>
                <w:b/>
                <w:bCs/>
                <w:color w:val="000000"/>
              </w:rPr>
            </w:pPr>
            <w:r>
              <w:rPr>
                <w:b/>
                <w:bCs/>
                <w:color w:val="000000"/>
              </w:rPr>
              <w:t xml:space="preserve">Veiklos rezultatų vertinimo rodikliai </w:t>
            </w:r>
          </w:p>
        </w:tc>
        <w:tc>
          <w:tcPr>
            <w:tcW w:w="3402" w:type="dxa"/>
            <w:tcBorders>
              <w:top w:val="single" w:sz="4" w:space="0" w:color="auto"/>
              <w:left w:val="single" w:sz="4" w:space="0" w:color="auto"/>
              <w:right w:val="single" w:sz="4" w:space="0" w:color="auto"/>
            </w:tcBorders>
            <w:vAlign w:val="center"/>
            <w:hideMark/>
          </w:tcPr>
          <w:p w:rsidR="00CE7124" w:rsidRPr="00C61562" w:rsidRDefault="00CE7124" w:rsidP="00FB4D4B">
            <w:pPr>
              <w:jc w:val="center"/>
              <w:rPr>
                <w:b/>
                <w:bCs/>
                <w:i/>
                <w:color w:val="000000"/>
              </w:rPr>
            </w:pPr>
            <w:r w:rsidRPr="00C61562">
              <w:rPr>
                <w:b/>
                <w:bCs/>
                <w:i/>
                <w:color w:val="000000"/>
              </w:rPr>
              <w:t>Siektina reikšmė</w:t>
            </w:r>
          </w:p>
        </w:tc>
        <w:tc>
          <w:tcPr>
            <w:tcW w:w="1984" w:type="dxa"/>
            <w:tcBorders>
              <w:top w:val="single" w:sz="4" w:space="0" w:color="auto"/>
              <w:left w:val="single" w:sz="4" w:space="0" w:color="auto"/>
              <w:right w:val="single" w:sz="4" w:space="0" w:color="auto"/>
            </w:tcBorders>
          </w:tcPr>
          <w:p w:rsidR="00CE7124" w:rsidRDefault="00CE7124" w:rsidP="00FB4D4B">
            <w:pPr>
              <w:jc w:val="center"/>
              <w:rPr>
                <w:b/>
                <w:bCs/>
                <w:color w:val="000000"/>
              </w:rPr>
            </w:pPr>
          </w:p>
          <w:p w:rsidR="00CE7124" w:rsidRDefault="00CE7124" w:rsidP="00FB4D4B">
            <w:pPr>
              <w:jc w:val="center"/>
              <w:rPr>
                <w:b/>
                <w:bCs/>
                <w:color w:val="000000"/>
              </w:rPr>
            </w:pPr>
          </w:p>
          <w:p w:rsidR="00CE7124" w:rsidRDefault="00CE7124" w:rsidP="00FB4D4B">
            <w:pPr>
              <w:jc w:val="center"/>
              <w:rPr>
                <w:b/>
                <w:bCs/>
                <w:color w:val="000000"/>
              </w:rPr>
            </w:pPr>
            <w:r>
              <w:rPr>
                <w:b/>
                <w:bCs/>
                <w:color w:val="000000"/>
              </w:rPr>
              <w:t>Įvykdymas</w:t>
            </w:r>
          </w:p>
        </w:tc>
      </w:tr>
      <w:tr w:rsidR="00CE7124" w:rsidRPr="00CE7124" w:rsidTr="00C61562">
        <w:trPr>
          <w:trHeight w:val="300"/>
        </w:trPr>
        <w:tc>
          <w:tcPr>
            <w:tcW w:w="709" w:type="dxa"/>
            <w:tcBorders>
              <w:top w:val="single" w:sz="4" w:space="0" w:color="auto"/>
              <w:left w:val="single" w:sz="4" w:space="0" w:color="auto"/>
              <w:bottom w:val="single" w:sz="4" w:space="0" w:color="auto"/>
              <w:right w:val="single" w:sz="4" w:space="0" w:color="auto"/>
            </w:tcBorders>
            <w:noWrap/>
            <w:hideMark/>
          </w:tcPr>
          <w:p w:rsidR="00CE7124" w:rsidRPr="00C808A2" w:rsidRDefault="00CE7124" w:rsidP="00FB4D4B">
            <w:pPr>
              <w:jc w:val="center"/>
              <w:rPr>
                <w:b/>
                <w:iCs/>
                <w:color w:val="000000"/>
              </w:rPr>
            </w:pPr>
            <w:r>
              <w:rPr>
                <w:b/>
                <w:iCs/>
                <w:color w:val="000000"/>
              </w:rPr>
              <w:t>I</w:t>
            </w:r>
          </w:p>
        </w:tc>
        <w:tc>
          <w:tcPr>
            <w:tcW w:w="6804" w:type="dxa"/>
            <w:gridSpan w:val="2"/>
            <w:tcBorders>
              <w:top w:val="single" w:sz="4" w:space="0" w:color="auto"/>
              <w:left w:val="single" w:sz="4" w:space="0" w:color="auto"/>
              <w:bottom w:val="single" w:sz="4" w:space="0" w:color="auto"/>
              <w:right w:val="single" w:sz="4" w:space="0" w:color="auto"/>
            </w:tcBorders>
            <w:noWrap/>
            <w:vAlign w:val="center"/>
            <w:hideMark/>
          </w:tcPr>
          <w:p w:rsidR="00CE7124" w:rsidRPr="00CE7124" w:rsidRDefault="00CE7124" w:rsidP="00FB4D4B">
            <w:pPr>
              <w:rPr>
                <w:i/>
                <w:iCs/>
                <w:color w:val="000000"/>
                <w:lang w:val="en-US"/>
              </w:rPr>
            </w:pPr>
            <w:r w:rsidRPr="00CE7124">
              <w:rPr>
                <w:b/>
                <w:bCs/>
                <w:color w:val="000000"/>
                <w:lang w:val="en-US"/>
              </w:rPr>
              <w:t>Veiklos finansinių rezultatų vertinimo rodikliai:</w:t>
            </w:r>
          </w:p>
        </w:tc>
        <w:tc>
          <w:tcPr>
            <w:tcW w:w="1984" w:type="dxa"/>
            <w:tcBorders>
              <w:top w:val="single" w:sz="4" w:space="0" w:color="auto"/>
              <w:left w:val="single" w:sz="4" w:space="0" w:color="auto"/>
              <w:bottom w:val="single" w:sz="4" w:space="0" w:color="auto"/>
              <w:right w:val="single" w:sz="4" w:space="0" w:color="auto"/>
            </w:tcBorders>
          </w:tcPr>
          <w:p w:rsidR="00CE7124" w:rsidRPr="00CE7124" w:rsidRDefault="00CE7124" w:rsidP="00FB4D4B">
            <w:pPr>
              <w:rPr>
                <w:b/>
                <w:bCs/>
                <w:color w:val="000000"/>
                <w:lang w:val="en-US"/>
              </w:rPr>
            </w:pPr>
          </w:p>
        </w:tc>
      </w:tr>
      <w:tr w:rsidR="00CE7124" w:rsidTr="00C61562">
        <w:trPr>
          <w:trHeight w:val="1098"/>
        </w:trPr>
        <w:tc>
          <w:tcPr>
            <w:tcW w:w="709" w:type="dxa"/>
            <w:tcBorders>
              <w:top w:val="single" w:sz="4" w:space="0" w:color="auto"/>
              <w:left w:val="single" w:sz="4" w:space="0" w:color="auto"/>
              <w:bottom w:val="single" w:sz="4" w:space="0" w:color="auto"/>
              <w:right w:val="single" w:sz="4" w:space="0" w:color="auto"/>
            </w:tcBorders>
            <w:noWrap/>
            <w:vAlign w:val="center"/>
            <w:hideMark/>
          </w:tcPr>
          <w:p w:rsidR="00CE7124" w:rsidRDefault="00CE7124" w:rsidP="00FB4D4B">
            <w:pPr>
              <w:jc w:val="center"/>
              <w:rPr>
                <w:color w:val="000000"/>
              </w:rPr>
            </w:pPr>
            <w:r>
              <w:rPr>
                <w:color w:val="000000"/>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CE7124" w:rsidRPr="00386F46" w:rsidRDefault="00CE7124" w:rsidP="00FB4D4B">
            <w:pPr>
              <w:jc w:val="both"/>
              <w:rPr>
                <w:bCs/>
                <w:color w:val="000000"/>
              </w:rPr>
            </w:pPr>
            <w:r w:rsidRPr="00386F46">
              <w:rPr>
                <w:bCs/>
                <w:color w:val="000000"/>
              </w:rPr>
              <w:t>Įstaigos praėjusių metų veiklos rezultatų ataskaitoje nurodytas pajamų ir sąnaudų skirtumas (grynasis perviršis ar deficitas)</w:t>
            </w:r>
          </w:p>
        </w:tc>
        <w:tc>
          <w:tcPr>
            <w:tcW w:w="3402" w:type="dxa"/>
            <w:tcBorders>
              <w:top w:val="single" w:sz="4" w:space="0" w:color="auto"/>
              <w:left w:val="single" w:sz="4" w:space="0" w:color="auto"/>
              <w:bottom w:val="single" w:sz="4" w:space="0" w:color="auto"/>
              <w:right w:val="single" w:sz="4" w:space="0" w:color="auto"/>
            </w:tcBorders>
            <w:vAlign w:val="center"/>
            <w:hideMark/>
          </w:tcPr>
          <w:p w:rsidR="00CE7124" w:rsidRDefault="00CE7124" w:rsidP="00FB4D4B">
            <w:pPr>
              <w:jc w:val="center"/>
              <w:rPr>
                <w:color w:val="000000"/>
              </w:rPr>
            </w:pPr>
            <w:r>
              <w:rPr>
                <w:color w:val="000000"/>
              </w:rPr>
              <w:t>Būti nenuostolingai</w:t>
            </w:r>
          </w:p>
        </w:tc>
        <w:tc>
          <w:tcPr>
            <w:tcW w:w="1984" w:type="dxa"/>
            <w:tcBorders>
              <w:top w:val="single" w:sz="4" w:space="0" w:color="auto"/>
              <w:left w:val="single" w:sz="4" w:space="0" w:color="auto"/>
              <w:bottom w:val="single" w:sz="4" w:space="0" w:color="auto"/>
              <w:right w:val="single" w:sz="4" w:space="0" w:color="auto"/>
            </w:tcBorders>
          </w:tcPr>
          <w:p w:rsidR="00CE7124" w:rsidRDefault="00CE7124" w:rsidP="00FB4D4B">
            <w:pPr>
              <w:jc w:val="center"/>
              <w:rPr>
                <w:color w:val="000000"/>
              </w:rPr>
            </w:pPr>
          </w:p>
          <w:p w:rsidR="00CE7124" w:rsidRDefault="00CE7124" w:rsidP="00FB4D4B">
            <w:pPr>
              <w:jc w:val="center"/>
              <w:rPr>
                <w:color w:val="000000"/>
              </w:rPr>
            </w:pPr>
          </w:p>
          <w:p w:rsidR="00CE7124" w:rsidRDefault="00CE7124" w:rsidP="00FB4D4B">
            <w:pPr>
              <w:jc w:val="center"/>
              <w:rPr>
                <w:color w:val="000000"/>
              </w:rPr>
            </w:pPr>
            <w:r>
              <w:rPr>
                <w:color w:val="000000"/>
              </w:rPr>
              <w:t>124625 €</w:t>
            </w:r>
          </w:p>
        </w:tc>
      </w:tr>
      <w:tr w:rsidR="00CE7124" w:rsidTr="00C61562">
        <w:tc>
          <w:tcPr>
            <w:tcW w:w="709" w:type="dxa"/>
            <w:tcBorders>
              <w:top w:val="single" w:sz="4" w:space="0" w:color="auto"/>
              <w:left w:val="single" w:sz="4" w:space="0" w:color="auto"/>
              <w:bottom w:val="single" w:sz="4" w:space="0" w:color="auto"/>
              <w:right w:val="single" w:sz="4" w:space="0" w:color="auto"/>
            </w:tcBorders>
            <w:vAlign w:val="center"/>
            <w:hideMark/>
          </w:tcPr>
          <w:p w:rsidR="00CE7124" w:rsidRDefault="00CE7124" w:rsidP="00FB4D4B">
            <w:pPr>
              <w:jc w:val="center"/>
            </w:pPr>
            <w: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CE7124" w:rsidRPr="00386F46" w:rsidRDefault="00CE7124" w:rsidP="00FB4D4B">
            <w:pPr>
              <w:jc w:val="both"/>
            </w:pPr>
            <w:r w:rsidRPr="00386F46">
              <w:t>Įstaigos sąnaudų darbo užmokesčiui dalis</w:t>
            </w:r>
          </w:p>
        </w:tc>
        <w:tc>
          <w:tcPr>
            <w:tcW w:w="3402" w:type="dxa"/>
            <w:tcBorders>
              <w:top w:val="single" w:sz="4" w:space="0" w:color="auto"/>
              <w:left w:val="single" w:sz="4" w:space="0" w:color="auto"/>
              <w:bottom w:val="single" w:sz="4" w:space="0" w:color="auto"/>
              <w:right w:val="single" w:sz="4" w:space="0" w:color="auto"/>
            </w:tcBorders>
            <w:vAlign w:val="center"/>
            <w:hideMark/>
          </w:tcPr>
          <w:p w:rsidR="00CE7124" w:rsidRDefault="00CE7124" w:rsidP="00FB4D4B">
            <w:r>
              <w:t>Valstybės institucijoms skyrus papildomų Privalomojo sveikatos draudimo fondo  biudžeto lėšų asmens sveikatos priežiūros paslaugoms apmokėti ir rekomendavus jas nukreipti sveikatos priežiūros specialistų darbo užmokesčiui didinti, ne mažiau kaip 75 proc. nurodytų lėšų panaudojamos darbo užmokesčiui didinti</w:t>
            </w:r>
          </w:p>
          <w:p w:rsidR="00CE7124" w:rsidRDefault="00CE7124" w:rsidP="00FB4D4B"/>
        </w:tc>
        <w:tc>
          <w:tcPr>
            <w:tcW w:w="1984" w:type="dxa"/>
            <w:tcBorders>
              <w:top w:val="single" w:sz="4" w:space="0" w:color="auto"/>
              <w:left w:val="single" w:sz="4" w:space="0" w:color="auto"/>
              <w:bottom w:val="single" w:sz="4" w:space="0" w:color="auto"/>
              <w:right w:val="single" w:sz="4" w:space="0" w:color="auto"/>
            </w:tcBorders>
          </w:tcPr>
          <w:p w:rsidR="00CE7124" w:rsidRDefault="00CE7124" w:rsidP="00FB4D4B"/>
          <w:p w:rsidR="00CE7124" w:rsidRDefault="00CE7124" w:rsidP="00FB4D4B"/>
          <w:p w:rsidR="00CE7124" w:rsidRDefault="00CE7124" w:rsidP="00FB4D4B"/>
          <w:p w:rsidR="00CE7124" w:rsidRDefault="00CE7124" w:rsidP="00FB4D4B">
            <w:pPr>
              <w:jc w:val="center"/>
            </w:pPr>
            <w:r>
              <w:t>90 %</w:t>
            </w:r>
          </w:p>
        </w:tc>
      </w:tr>
      <w:tr w:rsidR="00CE7124" w:rsidTr="00C61562">
        <w:trPr>
          <w:trHeight w:val="478"/>
        </w:trPr>
        <w:tc>
          <w:tcPr>
            <w:tcW w:w="709" w:type="dxa"/>
            <w:tcBorders>
              <w:top w:val="single" w:sz="4" w:space="0" w:color="auto"/>
              <w:left w:val="single" w:sz="4" w:space="0" w:color="auto"/>
              <w:bottom w:val="single" w:sz="4" w:space="0" w:color="auto"/>
              <w:right w:val="single" w:sz="4" w:space="0" w:color="auto"/>
            </w:tcBorders>
            <w:vAlign w:val="center"/>
            <w:hideMark/>
          </w:tcPr>
          <w:p w:rsidR="00CE7124" w:rsidRDefault="00CE7124" w:rsidP="00FB4D4B">
            <w:pPr>
              <w:jc w:val="center"/>
            </w:pPr>
            <w: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CE7124" w:rsidRPr="00CE7124" w:rsidRDefault="00CE7124" w:rsidP="00FB4D4B">
            <w:pPr>
              <w:jc w:val="both"/>
              <w:rPr>
                <w:lang w:val="en-US"/>
              </w:rPr>
            </w:pPr>
            <w:r w:rsidRPr="00CE7124">
              <w:rPr>
                <w:lang w:val="en-US"/>
              </w:rPr>
              <w:t>Įstaigos sąnaudų valdymo išlaidoms dalis</w:t>
            </w:r>
            <w:r w:rsidRPr="00CE7124">
              <w:rPr>
                <w:lang w:val="en-US"/>
              </w:rPr>
              <w:tab/>
            </w:r>
            <w:r w:rsidRPr="00CE7124">
              <w:rPr>
                <w:lang w:val="en-US"/>
              </w:rPr>
              <w:tab/>
            </w:r>
          </w:p>
        </w:tc>
        <w:tc>
          <w:tcPr>
            <w:tcW w:w="3402" w:type="dxa"/>
            <w:tcBorders>
              <w:top w:val="single" w:sz="4" w:space="0" w:color="auto"/>
              <w:left w:val="single" w:sz="4" w:space="0" w:color="auto"/>
              <w:bottom w:val="single" w:sz="4" w:space="0" w:color="auto"/>
              <w:right w:val="single" w:sz="4" w:space="0" w:color="auto"/>
            </w:tcBorders>
            <w:vAlign w:val="center"/>
            <w:hideMark/>
          </w:tcPr>
          <w:p w:rsidR="00CE7124" w:rsidRDefault="00CE7124" w:rsidP="00FB4D4B">
            <w:pPr>
              <w:jc w:val="center"/>
            </w:pPr>
            <w:r>
              <w:t>Ne daugiau kaip 2,0 proc.</w:t>
            </w:r>
          </w:p>
        </w:tc>
        <w:tc>
          <w:tcPr>
            <w:tcW w:w="1984" w:type="dxa"/>
            <w:tcBorders>
              <w:top w:val="single" w:sz="4" w:space="0" w:color="auto"/>
              <w:left w:val="single" w:sz="4" w:space="0" w:color="auto"/>
              <w:bottom w:val="single" w:sz="4" w:space="0" w:color="auto"/>
              <w:right w:val="single" w:sz="4" w:space="0" w:color="auto"/>
            </w:tcBorders>
          </w:tcPr>
          <w:p w:rsidR="00CE7124" w:rsidRDefault="00CE7124" w:rsidP="00FB4D4B">
            <w:pPr>
              <w:jc w:val="center"/>
            </w:pPr>
          </w:p>
          <w:p w:rsidR="00CE7124" w:rsidRDefault="00CE7124" w:rsidP="00FB4D4B">
            <w:pPr>
              <w:jc w:val="center"/>
            </w:pPr>
            <w:r>
              <w:t>2 %</w:t>
            </w:r>
          </w:p>
          <w:p w:rsidR="00CE7124" w:rsidRDefault="00CE7124" w:rsidP="00FB4D4B">
            <w:pPr>
              <w:jc w:val="center"/>
            </w:pPr>
          </w:p>
        </w:tc>
      </w:tr>
      <w:tr w:rsidR="00CE7124" w:rsidTr="00C61562">
        <w:tc>
          <w:tcPr>
            <w:tcW w:w="709" w:type="dxa"/>
            <w:tcBorders>
              <w:top w:val="single" w:sz="4" w:space="0" w:color="auto"/>
              <w:left w:val="single" w:sz="4" w:space="0" w:color="auto"/>
              <w:bottom w:val="single" w:sz="4" w:space="0" w:color="auto"/>
              <w:right w:val="single" w:sz="4" w:space="0" w:color="auto"/>
            </w:tcBorders>
            <w:vAlign w:val="center"/>
            <w:hideMark/>
          </w:tcPr>
          <w:p w:rsidR="00CE7124" w:rsidRDefault="00CE7124" w:rsidP="00FB4D4B">
            <w:pPr>
              <w:jc w:val="center"/>
            </w:pPr>
            <w: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CE7124" w:rsidRPr="00CE7124" w:rsidRDefault="00CE7124" w:rsidP="00FB4D4B">
            <w:pPr>
              <w:jc w:val="both"/>
              <w:rPr>
                <w:lang w:val="en-US"/>
              </w:rPr>
            </w:pPr>
            <w:r w:rsidRPr="00CE7124">
              <w:rPr>
                <w:lang w:val="en-US"/>
              </w:rPr>
              <w:t>Įstaigos finansinių įsipareigojimų dalis nuo metinio įstaigos biudžeto</w:t>
            </w:r>
          </w:p>
          <w:p w:rsidR="00CE7124" w:rsidRPr="00CE7124" w:rsidRDefault="00CE7124" w:rsidP="00FB4D4B">
            <w:pPr>
              <w:jc w:val="both"/>
              <w:rPr>
                <w:lang w:val="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CE7124" w:rsidRDefault="00CE7124" w:rsidP="00FB4D4B">
            <w:pPr>
              <w:jc w:val="center"/>
            </w:pPr>
            <w:r>
              <w:t>Koeficientas ne didesnis kaip 0,2</w:t>
            </w:r>
          </w:p>
        </w:tc>
        <w:tc>
          <w:tcPr>
            <w:tcW w:w="1984" w:type="dxa"/>
            <w:tcBorders>
              <w:top w:val="single" w:sz="4" w:space="0" w:color="auto"/>
              <w:left w:val="single" w:sz="4" w:space="0" w:color="auto"/>
              <w:bottom w:val="single" w:sz="4" w:space="0" w:color="auto"/>
              <w:right w:val="single" w:sz="4" w:space="0" w:color="auto"/>
            </w:tcBorders>
          </w:tcPr>
          <w:p w:rsidR="00CE7124" w:rsidRDefault="00CE7124" w:rsidP="00FB4D4B">
            <w:pPr>
              <w:jc w:val="center"/>
            </w:pPr>
          </w:p>
          <w:p w:rsidR="00CE7124" w:rsidRDefault="00CE7124" w:rsidP="00FB4D4B">
            <w:pPr>
              <w:jc w:val="center"/>
            </w:pPr>
            <w:r>
              <w:t>0,20</w:t>
            </w:r>
          </w:p>
        </w:tc>
      </w:tr>
      <w:tr w:rsidR="00CE7124" w:rsidTr="00C61562">
        <w:tc>
          <w:tcPr>
            <w:tcW w:w="709" w:type="dxa"/>
            <w:tcBorders>
              <w:top w:val="single" w:sz="4" w:space="0" w:color="auto"/>
              <w:left w:val="single" w:sz="4" w:space="0" w:color="auto"/>
              <w:bottom w:val="single" w:sz="4" w:space="0" w:color="auto"/>
              <w:right w:val="single" w:sz="4" w:space="0" w:color="auto"/>
            </w:tcBorders>
            <w:vAlign w:val="center"/>
            <w:hideMark/>
          </w:tcPr>
          <w:p w:rsidR="00CE7124" w:rsidRDefault="00CE7124" w:rsidP="00FB4D4B">
            <w:pPr>
              <w:jc w:val="center"/>
            </w:pPr>
            <w:r>
              <w:t>5.</w:t>
            </w:r>
          </w:p>
        </w:tc>
        <w:tc>
          <w:tcPr>
            <w:tcW w:w="3402" w:type="dxa"/>
            <w:tcBorders>
              <w:top w:val="single" w:sz="4" w:space="0" w:color="auto"/>
              <w:left w:val="single" w:sz="4" w:space="0" w:color="auto"/>
              <w:bottom w:val="single" w:sz="4" w:space="0" w:color="auto"/>
              <w:right w:val="single" w:sz="4" w:space="0" w:color="auto"/>
            </w:tcBorders>
            <w:hideMark/>
          </w:tcPr>
          <w:p w:rsidR="00CE7124" w:rsidRDefault="00CE7124" w:rsidP="00FB4D4B">
            <w:pPr>
              <w:jc w:val="both"/>
            </w:pPr>
          </w:p>
          <w:p w:rsidR="00CE7124" w:rsidRPr="00386F46" w:rsidRDefault="00CE7124" w:rsidP="00FB4D4B">
            <w:pPr>
              <w:jc w:val="both"/>
            </w:pPr>
            <w:r w:rsidRPr="00386F46">
              <w:t>Papildomų finansavimo šaltinių pritraukimas</w:t>
            </w:r>
          </w:p>
        </w:tc>
        <w:tc>
          <w:tcPr>
            <w:tcW w:w="3402" w:type="dxa"/>
            <w:tcBorders>
              <w:top w:val="single" w:sz="4" w:space="0" w:color="auto"/>
              <w:left w:val="single" w:sz="4" w:space="0" w:color="auto"/>
              <w:bottom w:val="single" w:sz="4" w:space="0" w:color="auto"/>
              <w:right w:val="single" w:sz="4" w:space="0" w:color="auto"/>
            </w:tcBorders>
            <w:vAlign w:val="center"/>
            <w:hideMark/>
          </w:tcPr>
          <w:p w:rsidR="00CE7124" w:rsidRDefault="00CE7124" w:rsidP="00FB4D4B">
            <w:pPr>
              <w:jc w:val="center"/>
            </w:pPr>
          </w:p>
          <w:p w:rsidR="00CE7124" w:rsidRDefault="00CE7124" w:rsidP="00FB4D4B">
            <w:pPr>
              <w:jc w:val="center"/>
            </w:pPr>
            <w:r>
              <w:t>Nenustatoma</w:t>
            </w:r>
          </w:p>
          <w:p w:rsidR="00CE7124" w:rsidRDefault="00CE7124" w:rsidP="00FB4D4B">
            <w:pPr>
              <w:jc w:val="center"/>
            </w:pPr>
          </w:p>
        </w:tc>
        <w:tc>
          <w:tcPr>
            <w:tcW w:w="1984" w:type="dxa"/>
            <w:tcBorders>
              <w:top w:val="single" w:sz="4" w:space="0" w:color="auto"/>
              <w:left w:val="single" w:sz="4" w:space="0" w:color="auto"/>
              <w:bottom w:val="single" w:sz="4" w:space="0" w:color="auto"/>
              <w:right w:val="single" w:sz="4" w:space="0" w:color="auto"/>
            </w:tcBorders>
          </w:tcPr>
          <w:p w:rsidR="00CE7124" w:rsidRDefault="00CE7124" w:rsidP="00FB4D4B">
            <w:pPr>
              <w:jc w:val="center"/>
            </w:pPr>
          </w:p>
          <w:p w:rsidR="00CE7124" w:rsidRDefault="00CE7124" w:rsidP="00FB4D4B">
            <w:pPr>
              <w:jc w:val="center"/>
            </w:pPr>
            <w:r>
              <w:t>183096</w:t>
            </w:r>
          </w:p>
        </w:tc>
      </w:tr>
      <w:tr w:rsidR="00CE7124" w:rsidTr="00C61562">
        <w:tc>
          <w:tcPr>
            <w:tcW w:w="709" w:type="dxa"/>
            <w:tcBorders>
              <w:top w:val="single" w:sz="4" w:space="0" w:color="auto"/>
              <w:left w:val="single" w:sz="4" w:space="0" w:color="auto"/>
              <w:bottom w:val="single" w:sz="4" w:space="0" w:color="auto"/>
              <w:right w:val="single" w:sz="4" w:space="0" w:color="auto"/>
            </w:tcBorders>
            <w:vAlign w:val="center"/>
            <w:hideMark/>
          </w:tcPr>
          <w:p w:rsidR="00CE7124" w:rsidRDefault="00CE7124" w:rsidP="00FB4D4B">
            <w:pPr>
              <w:jc w:val="center"/>
              <w:rPr>
                <w:b/>
              </w:rPr>
            </w:pPr>
            <w:r>
              <w:rPr>
                <w:b/>
              </w:rPr>
              <w:t>II</w:t>
            </w:r>
          </w:p>
        </w:tc>
        <w:tc>
          <w:tcPr>
            <w:tcW w:w="6804" w:type="dxa"/>
            <w:gridSpan w:val="2"/>
            <w:tcBorders>
              <w:top w:val="single" w:sz="4" w:space="0" w:color="auto"/>
              <w:left w:val="single" w:sz="4" w:space="0" w:color="auto"/>
              <w:bottom w:val="single" w:sz="4" w:space="0" w:color="auto"/>
              <w:right w:val="single" w:sz="4" w:space="0" w:color="auto"/>
            </w:tcBorders>
            <w:hideMark/>
          </w:tcPr>
          <w:p w:rsidR="00CE7124" w:rsidRDefault="00CE7124" w:rsidP="00FB4D4B">
            <w:pPr>
              <w:jc w:val="both"/>
              <w:rPr>
                <w:b/>
              </w:rPr>
            </w:pPr>
            <w:r>
              <w:rPr>
                <w:b/>
              </w:rPr>
              <w:t>Veiklos rezultatų vertinimo rodikliai:</w:t>
            </w:r>
          </w:p>
        </w:tc>
        <w:tc>
          <w:tcPr>
            <w:tcW w:w="1984" w:type="dxa"/>
            <w:tcBorders>
              <w:top w:val="single" w:sz="4" w:space="0" w:color="auto"/>
              <w:left w:val="single" w:sz="4" w:space="0" w:color="auto"/>
              <w:bottom w:val="single" w:sz="4" w:space="0" w:color="auto"/>
              <w:right w:val="single" w:sz="4" w:space="0" w:color="auto"/>
            </w:tcBorders>
          </w:tcPr>
          <w:p w:rsidR="00CE7124" w:rsidRDefault="00CE7124" w:rsidP="00FB4D4B">
            <w:pPr>
              <w:jc w:val="both"/>
              <w:rPr>
                <w:b/>
              </w:rPr>
            </w:pPr>
          </w:p>
        </w:tc>
      </w:tr>
      <w:tr w:rsidR="00CE7124" w:rsidRPr="00CE7124" w:rsidTr="00C61562">
        <w:tc>
          <w:tcPr>
            <w:tcW w:w="709" w:type="dxa"/>
            <w:tcBorders>
              <w:top w:val="single" w:sz="4" w:space="0" w:color="auto"/>
              <w:left w:val="single" w:sz="4" w:space="0" w:color="auto"/>
              <w:bottom w:val="single" w:sz="4" w:space="0" w:color="auto"/>
              <w:right w:val="single" w:sz="4" w:space="0" w:color="auto"/>
            </w:tcBorders>
            <w:vAlign w:val="center"/>
            <w:hideMark/>
          </w:tcPr>
          <w:p w:rsidR="00CE7124" w:rsidRDefault="00CE7124" w:rsidP="00FB4D4B">
            <w:pPr>
              <w:jc w:val="center"/>
            </w:pPr>
            <w:r>
              <w:lastRenderedPageBreak/>
              <w:t>1.</w:t>
            </w:r>
          </w:p>
        </w:tc>
        <w:tc>
          <w:tcPr>
            <w:tcW w:w="3402" w:type="dxa"/>
            <w:tcBorders>
              <w:top w:val="single" w:sz="4" w:space="0" w:color="auto"/>
              <w:left w:val="single" w:sz="4" w:space="0" w:color="auto"/>
              <w:bottom w:val="single" w:sz="4" w:space="0" w:color="auto"/>
              <w:right w:val="single" w:sz="4" w:space="0" w:color="auto"/>
            </w:tcBorders>
            <w:hideMark/>
          </w:tcPr>
          <w:p w:rsidR="00CE7124" w:rsidRPr="00386F46" w:rsidRDefault="00CE7124" w:rsidP="00FB4D4B">
            <w:pPr>
              <w:jc w:val="both"/>
            </w:pPr>
            <w:r w:rsidRPr="00386F46">
              <w:t>Pacientų pasitenkinimo įstaigos teikiamomis asmens sveikatos priežiūros paslaugomis lygis, tai yra pacientų teigiamai įvertintų įstaigoje suteiktų paslaugų skaičiaus dalis nuo visų per metus įstaigoje suteiktų asmens sveikatos priežiūros paslaugų skaičiaus pagal sveikatos apsaugos ministro nustatytas paslaugų grupes</w:t>
            </w:r>
          </w:p>
        </w:tc>
        <w:tc>
          <w:tcPr>
            <w:tcW w:w="3402" w:type="dxa"/>
            <w:tcBorders>
              <w:top w:val="single" w:sz="4" w:space="0" w:color="auto"/>
              <w:left w:val="single" w:sz="4" w:space="0" w:color="auto"/>
              <w:bottom w:val="single" w:sz="4" w:space="0" w:color="auto"/>
              <w:right w:val="single" w:sz="4" w:space="0" w:color="auto"/>
            </w:tcBorders>
            <w:vAlign w:val="center"/>
            <w:hideMark/>
          </w:tcPr>
          <w:p w:rsidR="00CE7124" w:rsidRDefault="00CE7124" w:rsidP="00FB4D4B">
            <w:pPr>
              <w:jc w:val="center"/>
            </w:pPr>
            <w:r>
              <w:t>Nenustatoma</w:t>
            </w:r>
          </w:p>
        </w:tc>
        <w:tc>
          <w:tcPr>
            <w:tcW w:w="1984" w:type="dxa"/>
            <w:tcBorders>
              <w:top w:val="single" w:sz="4" w:space="0" w:color="auto"/>
              <w:left w:val="single" w:sz="4" w:space="0" w:color="auto"/>
              <w:bottom w:val="single" w:sz="4" w:space="0" w:color="auto"/>
              <w:right w:val="single" w:sz="4" w:space="0" w:color="auto"/>
            </w:tcBorders>
          </w:tcPr>
          <w:p w:rsidR="00CE7124" w:rsidRPr="00CE7124" w:rsidRDefault="00CE7124" w:rsidP="00FB4D4B">
            <w:pPr>
              <w:jc w:val="center"/>
              <w:rPr>
                <w:lang w:val="en-US"/>
              </w:rPr>
            </w:pPr>
            <w:r w:rsidRPr="00CE7124">
              <w:rPr>
                <w:lang w:val="en-US"/>
              </w:rPr>
              <w:t>Pasitenkinimo teikiamomis paslaugomis indeksas</w:t>
            </w:r>
          </w:p>
          <w:p w:rsidR="00CE7124" w:rsidRPr="00CE7124" w:rsidRDefault="00BB2B80" w:rsidP="00FB4D4B">
            <w:pPr>
              <w:rPr>
                <w:lang w:val="en-US"/>
              </w:rPr>
            </w:pPr>
            <w:r>
              <w:rPr>
                <w:lang w:val="en-US"/>
              </w:rPr>
              <w:t xml:space="preserve">       </w:t>
            </w:r>
            <w:r w:rsidR="00CE7124" w:rsidRPr="00CE7124">
              <w:rPr>
                <w:lang w:val="en-US"/>
              </w:rPr>
              <w:t xml:space="preserve"> _</w:t>
            </w:r>
          </w:p>
          <w:p w:rsidR="00CE7124" w:rsidRPr="00CE7124" w:rsidRDefault="00CE7124" w:rsidP="00FB4D4B">
            <w:pPr>
              <w:jc w:val="center"/>
              <w:rPr>
                <w:lang w:val="en-US"/>
              </w:rPr>
            </w:pPr>
            <w:r w:rsidRPr="00CE7124">
              <w:rPr>
                <w:lang w:val="en-US"/>
              </w:rPr>
              <w:t xml:space="preserve"> M ═ 0,99</w:t>
            </w:r>
          </w:p>
        </w:tc>
      </w:tr>
      <w:tr w:rsidR="00CE7124" w:rsidTr="00C61562">
        <w:tc>
          <w:tcPr>
            <w:tcW w:w="709" w:type="dxa"/>
            <w:tcBorders>
              <w:top w:val="single" w:sz="4" w:space="0" w:color="auto"/>
              <w:left w:val="single" w:sz="4" w:space="0" w:color="auto"/>
              <w:bottom w:val="single" w:sz="4" w:space="0" w:color="auto"/>
              <w:right w:val="single" w:sz="4" w:space="0" w:color="auto"/>
            </w:tcBorders>
            <w:vAlign w:val="center"/>
            <w:hideMark/>
          </w:tcPr>
          <w:p w:rsidR="00CE7124" w:rsidRDefault="00CE7124" w:rsidP="00FB4D4B">
            <w:pPr>
              <w:jc w:val="center"/>
            </w:pPr>
            <w: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CE7124" w:rsidRPr="00386F46" w:rsidRDefault="00CE7124" w:rsidP="00FB4D4B">
            <w:pPr>
              <w:jc w:val="both"/>
            </w:pPr>
            <w:r w:rsidRPr="00386F46">
              <w:t>Įstaigoje gautų pacientų skundų dėl įstaigoje suteiktų asmens sveikatos priežiūros paslaugų skaičius per metus ir pagrįstų skundų dalis</w:t>
            </w:r>
          </w:p>
        </w:tc>
        <w:tc>
          <w:tcPr>
            <w:tcW w:w="3402" w:type="dxa"/>
            <w:tcBorders>
              <w:top w:val="single" w:sz="4" w:space="0" w:color="auto"/>
              <w:left w:val="single" w:sz="4" w:space="0" w:color="auto"/>
              <w:bottom w:val="single" w:sz="4" w:space="0" w:color="auto"/>
              <w:right w:val="single" w:sz="4" w:space="0" w:color="auto"/>
            </w:tcBorders>
            <w:vAlign w:val="center"/>
            <w:hideMark/>
          </w:tcPr>
          <w:p w:rsidR="00CE7124" w:rsidRDefault="00CE7124" w:rsidP="00FB4D4B">
            <w:pPr>
              <w:jc w:val="center"/>
            </w:pPr>
            <w:r>
              <w:t>Nenustatoma</w:t>
            </w:r>
          </w:p>
        </w:tc>
        <w:tc>
          <w:tcPr>
            <w:tcW w:w="1984" w:type="dxa"/>
            <w:tcBorders>
              <w:top w:val="single" w:sz="4" w:space="0" w:color="auto"/>
              <w:left w:val="single" w:sz="4" w:space="0" w:color="auto"/>
              <w:bottom w:val="single" w:sz="4" w:space="0" w:color="auto"/>
              <w:right w:val="single" w:sz="4" w:space="0" w:color="auto"/>
            </w:tcBorders>
          </w:tcPr>
          <w:p w:rsidR="00CE7124" w:rsidRDefault="00CE7124" w:rsidP="00FB4D4B">
            <w:pPr>
              <w:jc w:val="center"/>
            </w:pPr>
            <w:r>
              <w:t>Gauti 3 skundai, iš jų pagrįstų - 1</w:t>
            </w:r>
          </w:p>
          <w:p w:rsidR="00CE7124" w:rsidRDefault="00CE7124" w:rsidP="00FB4D4B">
            <w:pPr>
              <w:jc w:val="center"/>
            </w:pPr>
          </w:p>
        </w:tc>
      </w:tr>
      <w:tr w:rsidR="00CE7124" w:rsidTr="00C61562">
        <w:tc>
          <w:tcPr>
            <w:tcW w:w="709" w:type="dxa"/>
            <w:tcBorders>
              <w:top w:val="single" w:sz="4" w:space="0" w:color="auto"/>
              <w:left w:val="single" w:sz="4" w:space="0" w:color="auto"/>
              <w:bottom w:val="single" w:sz="4" w:space="0" w:color="auto"/>
              <w:right w:val="single" w:sz="4" w:space="0" w:color="auto"/>
            </w:tcBorders>
            <w:vAlign w:val="center"/>
            <w:hideMark/>
          </w:tcPr>
          <w:p w:rsidR="00CE7124" w:rsidRDefault="00CE7124" w:rsidP="00FB4D4B">
            <w:pPr>
              <w:jc w:val="center"/>
            </w:pPr>
            <w: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CE7124" w:rsidRPr="00386F46" w:rsidRDefault="00CE7124" w:rsidP="00FB4D4B">
            <w:pPr>
              <w:jc w:val="both"/>
            </w:pPr>
            <w:r w:rsidRPr="00386F46">
              <w:t>Įstaigoje gautų pagrįstų skundų dalis nuo visų įstaigoje suteiktų asmens sveikatos priežiūros paslaugų skaičiaus per metus pagal sveikatos apsaugos ministro nustatytas paslaugų grupes</w:t>
            </w:r>
            <w:r w:rsidRPr="00386F46">
              <w:tab/>
            </w:r>
          </w:p>
        </w:tc>
        <w:tc>
          <w:tcPr>
            <w:tcW w:w="3402" w:type="dxa"/>
            <w:tcBorders>
              <w:top w:val="single" w:sz="4" w:space="0" w:color="auto"/>
              <w:left w:val="single" w:sz="4" w:space="0" w:color="auto"/>
              <w:bottom w:val="single" w:sz="4" w:space="0" w:color="auto"/>
              <w:right w:val="single" w:sz="4" w:space="0" w:color="auto"/>
            </w:tcBorders>
            <w:vAlign w:val="center"/>
            <w:hideMark/>
          </w:tcPr>
          <w:p w:rsidR="00CE7124" w:rsidRDefault="00CE7124" w:rsidP="00FB4D4B">
            <w:pPr>
              <w:jc w:val="center"/>
            </w:pPr>
            <w:r>
              <w:t>Nenustatoma</w:t>
            </w:r>
          </w:p>
        </w:tc>
        <w:tc>
          <w:tcPr>
            <w:tcW w:w="1984" w:type="dxa"/>
            <w:tcBorders>
              <w:top w:val="single" w:sz="4" w:space="0" w:color="auto"/>
              <w:left w:val="single" w:sz="4" w:space="0" w:color="auto"/>
              <w:bottom w:val="single" w:sz="4" w:space="0" w:color="auto"/>
              <w:right w:val="single" w:sz="4" w:space="0" w:color="auto"/>
            </w:tcBorders>
          </w:tcPr>
          <w:p w:rsidR="00CE7124" w:rsidRDefault="00CE7124" w:rsidP="00FB4D4B">
            <w:pPr>
              <w:jc w:val="center"/>
            </w:pPr>
          </w:p>
          <w:p w:rsidR="00CE7124" w:rsidRDefault="00CE7124" w:rsidP="00FB4D4B">
            <w:pPr>
              <w:jc w:val="center"/>
            </w:pPr>
            <w:r>
              <w:t>0,00</w:t>
            </w:r>
          </w:p>
        </w:tc>
      </w:tr>
      <w:tr w:rsidR="00CE7124" w:rsidRPr="00CE7124" w:rsidTr="00C61562">
        <w:tc>
          <w:tcPr>
            <w:tcW w:w="709" w:type="dxa"/>
            <w:tcBorders>
              <w:top w:val="single" w:sz="4" w:space="0" w:color="auto"/>
              <w:left w:val="single" w:sz="4" w:space="0" w:color="auto"/>
              <w:bottom w:val="single" w:sz="4" w:space="0" w:color="auto"/>
              <w:right w:val="single" w:sz="4" w:space="0" w:color="auto"/>
            </w:tcBorders>
            <w:vAlign w:val="center"/>
            <w:hideMark/>
          </w:tcPr>
          <w:p w:rsidR="00CE7124" w:rsidRDefault="00CE7124" w:rsidP="00FB4D4B">
            <w:pPr>
              <w:jc w:val="center"/>
            </w:pPr>
            <w: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CE7124" w:rsidRPr="00386F46" w:rsidRDefault="00CE7124" w:rsidP="00FB4D4B">
            <w:pPr>
              <w:jc w:val="both"/>
            </w:pPr>
            <w:r w:rsidRPr="00386F46">
              <w:t>Įstaigoje taikomos kovos su korupcija priemonės, numatytos sveikatos apsaugos ministro tvirtinamoje Sveikatos priežiūros srities korupcijos prevencijos programoje</w:t>
            </w:r>
          </w:p>
        </w:tc>
        <w:tc>
          <w:tcPr>
            <w:tcW w:w="3402" w:type="dxa"/>
            <w:tcBorders>
              <w:top w:val="single" w:sz="4" w:space="0" w:color="auto"/>
              <w:left w:val="single" w:sz="4" w:space="0" w:color="auto"/>
              <w:bottom w:val="single" w:sz="4" w:space="0" w:color="auto"/>
              <w:right w:val="single" w:sz="4" w:space="0" w:color="auto"/>
            </w:tcBorders>
            <w:vAlign w:val="center"/>
            <w:hideMark/>
          </w:tcPr>
          <w:p w:rsidR="00CE7124" w:rsidRPr="00CE7124" w:rsidRDefault="00CE7124" w:rsidP="00FB4D4B">
            <w:pPr>
              <w:jc w:val="center"/>
              <w:rPr>
                <w:b/>
                <w:lang w:val="en-US"/>
              </w:rPr>
            </w:pPr>
            <w:r w:rsidRPr="00CE7124">
              <w:rPr>
                <w:lang w:val="en-US"/>
              </w:rPr>
              <w:t>Siekti skaidrios asmens sveikatos priežiūros įstaigos vardo</w:t>
            </w:r>
          </w:p>
        </w:tc>
        <w:tc>
          <w:tcPr>
            <w:tcW w:w="1984" w:type="dxa"/>
            <w:tcBorders>
              <w:top w:val="single" w:sz="4" w:space="0" w:color="auto"/>
              <w:left w:val="single" w:sz="4" w:space="0" w:color="auto"/>
              <w:bottom w:val="single" w:sz="4" w:space="0" w:color="auto"/>
              <w:right w:val="single" w:sz="4" w:space="0" w:color="auto"/>
            </w:tcBorders>
          </w:tcPr>
          <w:p w:rsidR="00CE7124" w:rsidRPr="00CE7124" w:rsidRDefault="00CE7124" w:rsidP="00FB4D4B">
            <w:pPr>
              <w:jc w:val="center"/>
              <w:rPr>
                <w:lang w:val="en-US"/>
              </w:rPr>
            </w:pPr>
            <w:r w:rsidRPr="00CE7124">
              <w:rPr>
                <w:lang w:val="en-US"/>
              </w:rPr>
              <w:t>Pasiektas kandidato į skaidrios asmens sveikatos priežiūros įstaigos vardą lygmuo</w:t>
            </w:r>
          </w:p>
        </w:tc>
      </w:tr>
      <w:tr w:rsidR="00CE7124" w:rsidRPr="00CE7124" w:rsidTr="00C61562">
        <w:trPr>
          <w:trHeight w:val="2761"/>
        </w:trPr>
        <w:tc>
          <w:tcPr>
            <w:tcW w:w="709" w:type="dxa"/>
            <w:tcBorders>
              <w:top w:val="single" w:sz="4" w:space="0" w:color="auto"/>
              <w:left w:val="single" w:sz="4" w:space="0" w:color="auto"/>
              <w:bottom w:val="single" w:sz="4" w:space="0" w:color="auto"/>
              <w:right w:val="single" w:sz="4" w:space="0" w:color="auto"/>
            </w:tcBorders>
            <w:vAlign w:val="center"/>
            <w:hideMark/>
          </w:tcPr>
          <w:p w:rsidR="00CE7124" w:rsidRDefault="00CE7124" w:rsidP="00FB4D4B">
            <w:pPr>
              <w:jc w:val="center"/>
            </w:pPr>
            <w:r>
              <w:t>5.</w:t>
            </w:r>
          </w:p>
        </w:tc>
        <w:tc>
          <w:tcPr>
            <w:tcW w:w="3402" w:type="dxa"/>
            <w:tcBorders>
              <w:top w:val="single" w:sz="4" w:space="0" w:color="auto"/>
              <w:left w:val="single" w:sz="4" w:space="0" w:color="auto"/>
              <w:bottom w:val="single" w:sz="4" w:space="0" w:color="auto"/>
              <w:right w:val="single" w:sz="4" w:space="0" w:color="auto"/>
            </w:tcBorders>
            <w:vAlign w:val="center"/>
            <w:hideMark/>
          </w:tcPr>
          <w:p w:rsidR="00CE7124" w:rsidRPr="00386F46" w:rsidRDefault="00CE7124" w:rsidP="00FB4D4B">
            <w:pPr>
              <w:jc w:val="both"/>
            </w:pPr>
            <w:r w:rsidRPr="00386F46">
              <w:t>Informacinių technologijų diegimo ir plėtros lygis (pacientų elektroninės registracijos sistema, įstaigos interneto svetainės išsamumas, darbuotojų darbo krūvio apskaita, įstaigos dalyvavimo elektroninėje sveikatos sistemoje mastas)</w:t>
            </w:r>
            <w:r w:rsidRPr="00386F46">
              <w:tab/>
            </w:r>
          </w:p>
        </w:tc>
        <w:tc>
          <w:tcPr>
            <w:tcW w:w="3402" w:type="dxa"/>
            <w:tcBorders>
              <w:top w:val="single" w:sz="4" w:space="0" w:color="auto"/>
              <w:left w:val="single" w:sz="4" w:space="0" w:color="auto"/>
              <w:bottom w:val="single" w:sz="4" w:space="0" w:color="auto"/>
              <w:right w:val="single" w:sz="4" w:space="0" w:color="auto"/>
            </w:tcBorders>
            <w:vAlign w:val="center"/>
          </w:tcPr>
          <w:p w:rsidR="00CE7124" w:rsidRDefault="00CE7124" w:rsidP="00FB4D4B">
            <w:pPr>
              <w:pStyle w:val="Default"/>
              <w:spacing w:line="252" w:lineRule="auto"/>
              <w:ind w:left="601" w:hanging="241"/>
            </w:pPr>
            <w:r>
              <w:t>1. Ne mažiau kaip 90 proc. visų ligoninės stacionaro epikrizių išrašoma el. būdu.</w:t>
            </w:r>
          </w:p>
          <w:p w:rsidR="00CE7124" w:rsidRPr="00CE7124" w:rsidRDefault="00CE7124" w:rsidP="00FB4D4B">
            <w:pPr>
              <w:ind w:left="601" w:hanging="601"/>
              <w:rPr>
                <w:lang w:val="en-US"/>
              </w:rPr>
            </w:pPr>
            <w:r>
              <w:t xml:space="preserve">      </w:t>
            </w:r>
            <w:r w:rsidRPr="00CE7124">
              <w:rPr>
                <w:lang w:val="en-US"/>
              </w:rPr>
              <w:t>2. Įstaigos informacinėje sistemoje įdiegtas vaistų  suderinamumo tikrinimo funkcionalumas.</w:t>
            </w:r>
          </w:p>
        </w:tc>
        <w:tc>
          <w:tcPr>
            <w:tcW w:w="1984" w:type="dxa"/>
            <w:tcBorders>
              <w:top w:val="single" w:sz="4" w:space="0" w:color="auto"/>
              <w:left w:val="single" w:sz="4" w:space="0" w:color="auto"/>
              <w:bottom w:val="single" w:sz="4" w:space="0" w:color="auto"/>
              <w:right w:val="single" w:sz="4" w:space="0" w:color="auto"/>
            </w:tcBorders>
          </w:tcPr>
          <w:p w:rsidR="00CE7124" w:rsidRDefault="00CE7124" w:rsidP="00FB4D4B">
            <w:pPr>
              <w:pStyle w:val="Default"/>
              <w:spacing w:line="252" w:lineRule="auto"/>
              <w:ind w:left="175" w:firstLine="185"/>
            </w:pPr>
            <w:r>
              <w:t>1. 98 % visų ligoninės stacionaro epikrizių išrašoma elektroniniu būdu.</w:t>
            </w:r>
          </w:p>
          <w:p w:rsidR="00CE7124" w:rsidRDefault="00CE7124" w:rsidP="00FB4D4B">
            <w:pPr>
              <w:pStyle w:val="Default"/>
              <w:spacing w:line="252" w:lineRule="auto"/>
              <w:ind w:left="175" w:firstLine="185"/>
            </w:pPr>
            <w:r>
              <w:t>2. Įstaigos informacinėje sistemoje įdiegtas vaistų suderinamumo funkcionalumas</w:t>
            </w:r>
          </w:p>
        </w:tc>
      </w:tr>
      <w:tr w:rsidR="00CE7124" w:rsidRPr="00CE7124" w:rsidTr="00C61562">
        <w:trPr>
          <w:trHeight w:val="1698"/>
        </w:trPr>
        <w:tc>
          <w:tcPr>
            <w:tcW w:w="709" w:type="dxa"/>
            <w:tcBorders>
              <w:top w:val="single" w:sz="4" w:space="0" w:color="auto"/>
              <w:left w:val="single" w:sz="4" w:space="0" w:color="auto"/>
              <w:bottom w:val="single" w:sz="4" w:space="0" w:color="auto"/>
              <w:right w:val="single" w:sz="4" w:space="0" w:color="auto"/>
            </w:tcBorders>
            <w:vAlign w:val="center"/>
          </w:tcPr>
          <w:p w:rsidR="00CE7124" w:rsidRDefault="00CE7124" w:rsidP="00FB4D4B">
            <w:pPr>
              <w:jc w:val="center"/>
            </w:pPr>
            <w:r>
              <w:t>6.</w:t>
            </w:r>
          </w:p>
        </w:tc>
        <w:tc>
          <w:tcPr>
            <w:tcW w:w="3402" w:type="dxa"/>
            <w:tcBorders>
              <w:top w:val="single" w:sz="4" w:space="0" w:color="auto"/>
              <w:left w:val="single" w:sz="4" w:space="0" w:color="auto"/>
              <w:bottom w:val="single" w:sz="4" w:space="0" w:color="auto"/>
              <w:right w:val="single" w:sz="4" w:space="0" w:color="auto"/>
            </w:tcBorders>
            <w:vAlign w:val="center"/>
          </w:tcPr>
          <w:p w:rsidR="00CE7124" w:rsidRPr="00CE7124" w:rsidRDefault="00CE7124" w:rsidP="00FB4D4B">
            <w:pPr>
              <w:rPr>
                <w:lang w:val="en-US"/>
              </w:rPr>
            </w:pPr>
            <w:r w:rsidRPr="00CE7124">
              <w:rPr>
                <w:lang w:val="en-US"/>
              </w:rPr>
              <w:t>Ligoninė yra Išankstinės pacientų registracijos informacinės</w:t>
            </w:r>
          </w:p>
          <w:p w:rsidR="00CE7124" w:rsidRPr="00386F46" w:rsidRDefault="00CE7124" w:rsidP="00FB4D4B">
            <w:pPr>
              <w:jc w:val="both"/>
            </w:pPr>
            <w:r w:rsidRPr="00CE7124">
              <w:rPr>
                <w:lang w:val="en-US"/>
              </w:rPr>
              <w:t xml:space="preserve"> </w:t>
            </w:r>
            <w:r w:rsidRPr="00386F46">
              <w:t>sistemos dalyvis</w:t>
            </w:r>
          </w:p>
        </w:tc>
        <w:tc>
          <w:tcPr>
            <w:tcW w:w="3402" w:type="dxa"/>
            <w:tcBorders>
              <w:top w:val="single" w:sz="4" w:space="0" w:color="auto"/>
              <w:left w:val="single" w:sz="4" w:space="0" w:color="auto"/>
              <w:bottom w:val="single" w:sz="4" w:space="0" w:color="auto"/>
              <w:right w:val="single" w:sz="4" w:space="0" w:color="auto"/>
            </w:tcBorders>
            <w:vAlign w:val="center"/>
          </w:tcPr>
          <w:p w:rsidR="00CE7124" w:rsidRDefault="00CE7124" w:rsidP="00FB4D4B">
            <w:pPr>
              <w:pStyle w:val="Default"/>
              <w:spacing w:line="252" w:lineRule="auto"/>
              <w:ind w:left="601" w:hanging="241"/>
            </w:pPr>
            <w:r>
              <w:t xml:space="preserve">Iki 2020 m. pabaigos ligoninė turi pasirašyti sutartis su Elektroninės sveikatos priežiūros įstaigos bendradarbiavimo informacinės sistemos tvarkytoju – VĮ Registrų </w:t>
            </w:r>
            <w:r>
              <w:lastRenderedPageBreak/>
              <w:t>centru</w:t>
            </w:r>
          </w:p>
        </w:tc>
        <w:tc>
          <w:tcPr>
            <w:tcW w:w="1984" w:type="dxa"/>
            <w:tcBorders>
              <w:top w:val="single" w:sz="4" w:space="0" w:color="auto"/>
              <w:left w:val="single" w:sz="4" w:space="0" w:color="auto"/>
              <w:bottom w:val="single" w:sz="4" w:space="0" w:color="auto"/>
              <w:right w:val="single" w:sz="4" w:space="0" w:color="auto"/>
            </w:tcBorders>
          </w:tcPr>
          <w:p w:rsidR="00CE7124" w:rsidRDefault="00CE7124" w:rsidP="00FB4D4B">
            <w:pPr>
              <w:pStyle w:val="Default"/>
              <w:spacing w:line="252" w:lineRule="auto"/>
              <w:ind w:left="175" w:firstLine="185"/>
            </w:pPr>
            <w:r>
              <w:lastRenderedPageBreak/>
              <w:t xml:space="preserve">Su VšĮ Registrų centru 2020-12-08 pasirašyta sutartis dėl ligoninės dalyvavimo </w:t>
            </w:r>
            <w:r>
              <w:lastRenderedPageBreak/>
              <w:t>išankstinės pacientų registracijos informacinėje sistemoje (IPR).</w:t>
            </w:r>
          </w:p>
        </w:tc>
      </w:tr>
      <w:tr w:rsidR="00CE7124" w:rsidRPr="00CE7124" w:rsidTr="00C61562">
        <w:tc>
          <w:tcPr>
            <w:tcW w:w="709" w:type="dxa"/>
            <w:tcBorders>
              <w:top w:val="single" w:sz="4" w:space="0" w:color="auto"/>
              <w:left w:val="single" w:sz="4" w:space="0" w:color="auto"/>
              <w:bottom w:val="single" w:sz="4" w:space="0" w:color="auto"/>
              <w:right w:val="single" w:sz="4" w:space="0" w:color="auto"/>
            </w:tcBorders>
            <w:vAlign w:val="center"/>
            <w:hideMark/>
          </w:tcPr>
          <w:p w:rsidR="00CE7124" w:rsidRDefault="00CE7124" w:rsidP="00FB4D4B">
            <w:pPr>
              <w:jc w:val="center"/>
            </w:pPr>
            <w:r>
              <w:lastRenderedPageBreak/>
              <w:t>7.</w:t>
            </w:r>
          </w:p>
        </w:tc>
        <w:tc>
          <w:tcPr>
            <w:tcW w:w="3402" w:type="dxa"/>
            <w:tcBorders>
              <w:top w:val="single" w:sz="4" w:space="0" w:color="auto"/>
              <w:left w:val="single" w:sz="4" w:space="0" w:color="auto"/>
              <w:bottom w:val="single" w:sz="4" w:space="0" w:color="auto"/>
              <w:right w:val="single" w:sz="4" w:space="0" w:color="auto"/>
            </w:tcBorders>
            <w:vAlign w:val="center"/>
            <w:hideMark/>
          </w:tcPr>
          <w:p w:rsidR="00CE7124" w:rsidRPr="006B1298" w:rsidRDefault="00CE7124" w:rsidP="00FB4D4B">
            <w:pPr>
              <w:jc w:val="both"/>
            </w:pPr>
            <w:r w:rsidRPr="006B1298">
              <w:t>Įstaigoje suteiktų asmens sveikatos priežiūros paslaugų skaičius per ketvirtį ir per metus pagal sveikatos apsaugos ministro nustatytas paslaugų grupes</w:t>
            </w:r>
          </w:p>
        </w:tc>
        <w:tc>
          <w:tcPr>
            <w:tcW w:w="3402" w:type="dxa"/>
            <w:tcBorders>
              <w:top w:val="single" w:sz="4" w:space="0" w:color="auto"/>
              <w:left w:val="single" w:sz="4" w:space="0" w:color="auto"/>
              <w:bottom w:val="single" w:sz="4" w:space="0" w:color="auto"/>
              <w:right w:val="single" w:sz="4" w:space="0" w:color="auto"/>
            </w:tcBorders>
            <w:vAlign w:val="center"/>
            <w:hideMark/>
          </w:tcPr>
          <w:p w:rsidR="00CE7124" w:rsidRDefault="00CE7124" w:rsidP="00FB4D4B">
            <w:pPr>
              <w:jc w:val="center"/>
            </w:pPr>
            <w:r>
              <w:t>Nenustatoma</w:t>
            </w:r>
          </w:p>
        </w:tc>
        <w:tc>
          <w:tcPr>
            <w:tcW w:w="1984" w:type="dxa"/>
            <w:tcBorders>
              <w:top w:val="single" w:sz="4" w:space="0" w:color="auto"/>
              <w:left w:val="single" w:sz="4" w:space="0" w:color="auto"/>
              <w:bottom w:val="single" w:sz="4" w:space="0" w:color="auto"/>
              <w:right w:val="single" w:sz="4" w:space="0" w:color="auto"/>
            </w:tcBorders>
          </w:tcPr>
          <w:p w:rsidR="00CE7124" w:rsidRPr="00CE7124" w:rsidRDefault="00CE7124" w:rsidP="00FB4D4B">
            <w:pPr>
              <w:rPr>
                <w:lang w:val="en-US"/>
              </w:rPr>
            </w:pPr>
            <w:r w:rsidRPr="00CE7124">
              <w:rPr>
                <w:lang w:val="en-US"/>
              </w:rPr>
              <w:t xml:space="preserve">   Per metus suteikta 40080 paslaugų.</w:t>
            </w:r>
          </w:p>
          <w:p w:rsidR="00CE7124" w:rsidRPr="00CE7124" w:rsidRDefault="00CE7124" w:rsidP="00FB4D4B">
            <w:pPr>
              <w:rPr>
                <w:lang w:val="en-US"/>
              </w:rPr>
            </w:pPr>
            <w:r w:rsidRPr="00CE7124">
              <w:rPr>
                <w:lang w:val="en-US"/>
              </w:rPr>
              <w:t xml:space="preserve">   Per ketvirtį – 10020.</w:t>
            </w:r>
          </w:p>
        </w:tc>
      </w:tr>
      <w:tr w:rsidR="00CE7124" w:rsidTr="00C61562">
        <w:tc>
          <w:tcPr>
            <w:tcW w:w="709" w:type="dxa"/>
            <w:tcBorders>
              <w:top w:val="single" w:sz="4" w:space="0" w:color="auto"/>
              <w:left w:val="single" w:sz="4" w:space="0" w:color="auto"/>
              <w:bottom w:val="single" w:sz="4" w:space="0" w:color="auto"/>
              <w:right w:val="single" w:sz="4" w:space="0" w:color="auto"/>
            </w:tcBorders>
            <w:vAlign w:val="center"/>
            <w:hideMark/>
          </w:tcPr>
          <w:p w:rsidR="00CE7124" w:rsidRDefault="00CE7124" w:rsidP="00FB4D4B">
            <w:pPr>
              <w:jc w:val="center"/>
            </w:pPr>
            <w:r>
              <w:t>8.</w:t>
            </w:r>
          </w:p>
        </w:tc>
        <w:tc>
          <w:tcPr>
            <w:tcW w:w="3402" w:type="dxa"/>
            <w:tcBorders>
              <w:top w:val="single" w:sz="4" w:space="0" w:color="auto"/>
              <w:left w:val="single" w:sz="4" w:space="0" w:color="auto"/>
              <w:bottom w:val="single" w:sz="4" w:space="0" w:color="auto"/>
              <w:right w:val="single" w:sz="4" w:space="0" w:color="auto"/>
            </w:tcBorders>
            <w:hideMark/>
          </w:tcPr>
          <w:p w:rsidR="00CE7124" w:rsidRPr="006B1298" w:rsidRDefault="00CE7124" w:rsidP="00FB4D4B">
            <w:pPr>
              <w:jc w:val="both"/>
            </w:pPr>
            <w:r w:rsidRPr="006B1298">
              <w:t>Vidutinis laikas nuo paciento kreipimosi į įstaigą dėl asmens sveikatos priežiūros paslaugos suteikimo momento iki paskirto paslaugos gavimo laiko pagal sveikatos apsaugos ministro nustatytas paslaugų grupes</w:t>
            </w:r>
          </w:p>
        </w:tc>
        <w:tc>
          <w:tcPr>
            <w:tcW w:w="3402" w:type="dxa"/>
            <w:tcBorders>
              <w:top w:val="single" w:sz="4" w:space="0" w:color="auto"/>
              <w:left w:val="single" w:sz="4" w:space="0" w:color="auto"/>
              <w:bottom w:val="single" w:sz="4" w:space="0" w:color="auto"/>
              <w:right w:val="single" w:sz="4" w:space="0" w:color="auto"/>
            </w:tcBorders>
            <w:vAlign w:val="center"/>
            <w:hideMark/>
          </w:tcPr>
          <w:p w:rsidR="00CE7124" w:rsidRDefault="00CE7124" w:rsidP="00FB4D4B">
            <w:pPr>
              <w:jc w:val="center"/>
            </w:pPr>
            <w:r>
              <w:t>Nenustatoma</w:t>
            </w:r>
          </w:p>
        </w:tc>
        <w:tc>
          <w:tcPr>
            <w:tcW w:w="1984" w:type="dxa"/>
            <w:tcBorders>
              <w:top w:val="single" w:sz="4" w:space="0" w:color="auto"/>
              <w:left w:val="single" w:sz="4" w:space="0" w:color="auto"/>
              <w:bottom w:val="single" w:sz="4" w:space="0" w:color="auto"/>
              <w:right w:val="single" w:sz="4" w:space="0" w:color="auto"/>
            </w:tcBorders>
          </w:tcPr>
          <w:p w:rsidR="00CE7124" w:rsidRDefault="00CE7124" w:rsidP="00FB4D4B">
            <w:pPr>
              <w:jc w:val="center"/>
            </w:pPr>
          </w:p>
          <w:p w:rsidR="00CE7124" w:rsidRDefault="00CE7124" w:rsidP="00FB4D4B">
            <w:pPr>
              <w:jc w:val="center"/>
            </w:pPr>
            <w:r>
              <w:t>0-14 dienų</w:t>
            </w:r>
          </w:p>
        </w:tc>
      </w:tr>
      <w:tr w:rsidR="00CE7124" w:rsidTr="00C61562">
        <w:trPr>
          <w:trHeight w:val="960"/>
        </w:trPr>
        <w:tc>
          <w:tcPr>
            <w:tcW w:w="709" w:type="dxa"/>
            <w:tcBorders>
              <w:top w:val="single" w:sz="4" w:space="0" w:color="auto"/>
              <w:left w:val="single" w:sz="4" w:space="0" w:color="auto"/>
              <w:bottom w:val="single" w:sz="4" w:space="0" w:color="auto"/>
              <w:right w:val="single" w:sz="4" w:space="0" w:color="auto"/>
            </w:tcBorders>
            <w:vAlign w:val="center"/>
            <w:hideMark/>
          </w:tcPr>
          <w:p w:rsidR="00CE7124" w:rsidRDefault="00CE7124" w:rsidP="00FB4D4B">
            <w:pPr>
              <w:jc w:val="center"/>
            </w:pPr>
            <w:r>
              <w:t>9.</w:t>
            </w:r>
          </w:p>
        </w:tc>
        <w:tc>
          <w:tcPr>
            <w:tcW w:w="3402" w:type="dxa"/>
            <w:tcBorders>
              <w:top w:val="single" w:sz="4" w:space="0" w:color="auto"/>
              <w:left w:val="single" w:sz="4" w:space="0" w:color="auto"/>
              <w:bottom w:val="single" w:sz="4" w:space="0" w:color="auto"/>
              <w:right w:val="single" w:sz="4" w:space="0" w:color="auto"/>
            </w:tcBorders>
            <w:hideMark/>
          </w:tcPr>
          <w:p w:rsidR="00CE7124" w:rsidRPr="006B1298" w:rsidRDefault="00CE7124" w:rsidP="00FB4D4B">
            <w:pPr>
              <w:jc w:val="both"/>
            </w:pPr>
            <w:r w:rsidRPr="006B1298">
              <w:t>Įstaigoje dirbančių darbuotojų ir etatų skaičius ir įstaigoje suteiktų asmens sveikatos priežiūros paslaugų skaičius per metus</w:t>
            </w:r>
          </w:p>
        </w:tc>
        <w:tc>
          <w:tcPr>
            <w:tcW w:w="3402" w:type="dxa"/>
            <w:tcBorders>
              <w:top w:val="single" w:sz="4" w:space="0" w:color="auto"/>
              <w:left w:val="single" w:sz="4" w:space="0" w:color="auto"/>
              <w:bottom w:val="single" w:sz="4" w:space="0" w:color="auto"/>
              <w:right w:val="single" w:sz="4" w:space="0" w:color="auto"/>
            </w:tcBorders>
            <w:vAlign w:val="center"/>
            <w:hideMark/>
          </w:tcPr>
          <w:p w:rsidR="00CE7124" w:rsidRDefault="00CE7124" w:rsidP="00FB4D4B">
            <w:pPr>
              <w:jc w:val="center"/>
            </w:pPr>
            <w:r>
              <w:t>Nenustatoma</w:t>
            </w:r>
          </w:p>
        </w:tc>
        <w:tc>
          <w:tcPr>
            <w:tcW w:w="1984" w:type="dxa"/>
            <w:tcBorders>
              <w:top w:val="single" w:sz="4" w:space="0" w:color="auto"/>
              <w:left w:val="single" w:sz="4" w:space="0" w:color="auto"/>
              <w:bottom w:val="single" w:sz="4" w:space="0" w:color="auto"/>
              <w:right w:val="single" w:sz="4" w:space="0" w:color="auto"/>
            </w:tcBorders>
          </w:tcPr>
          <w:p w:rsidR="00CE7124" w:rsidRDefault="00CE7124" w:rsidP="00FB4D4B">
            <w:pPr>
              <w:rPr>
                <w:rFonts w:eastAsia="Calibri"/>
                <w:sz w:val="22"/>
                <w:szCs w:val="22"/>
              </w:rPr>
            </w:pPr>
            <w:r>
              <w:rPr>
                <w:rFonts w:eastAsia="Calibri"/>
                <w:sz w:val="22"/>
                <w:szCs w:val="22"/>
              </w:rPr>
              <w:t>Darbuotojų skaičius – 269.</w:t>
            </w:r>
          </w:p>
          <w:p w:rsidR="00CE7124" w:rsidRDefault="00CE7124" w:rsidP="00FB4D4B">
            <w:pPr>
              <w:rPr>
                <w:rFonts w:eastAsia="Calibri"/>
                <w:sz w:val="22"/>
                <w:szCs w:val="22"/>
              </w:rPr>
            </w:pPr>
            <w:r>
              <w:rPr>
                <w:rFonts w:eastAsia="Calibri"/>
                <w:sz w:val="22"/>
                <w:szCs w:val="22"/>
              </w:rPr>
              <w:t>Etatų skaičius – 246.</w:t>
            </w:r>
          </w:p>
          <w:p w:rsidR="00CE7124" w:rsidRDefault="00CE7124" w:rsidP="00FB4D4B">
            <w:r>
              <w:rPr>
                <w:rFonts w:eastAsia="Calibri"/>
                <w:sz w:val="22"/>
                <w:szCs w:val="22"/>
              </w:rPr>
              <w:t>Suteikta sveikatos priežiūros paslaugų – 40080.</w:t>
            </w:r>
          </w:p>
        </w:tc>
      </w:tr>
      <w:tr w:rsidR="00CE7124" w:rsidTr="00C61562">
        <w:trPr>
          <w:trHeight w:val="2208"/>
        </w:trPr>
        <w:tc>
          <w:tcPr>
            <w:tcW w:w="709" w:type="dxa"/>
            <w:tcBorders>
              <w:top w:val="single" w:sz="4" w:space="0" w:color="auto"/>
              <w:left w:val="single" w:sz="4" w:space="0" w:color="auto"/>
              <w:bottom w:val="single" w:sz="4" w:space="0" w:color="auto"/>
              <w:right w:val="single" w:sz="4" w:space="0" w:color="auto"/>
            </w:tcBorders>
            <w:vAlign w:val="center"/>
            <w:hideMark/>
          </w:tcPr>
          <w:p w:rsidR="00CE7124" w:rsidRDefault="00CE7124" w:rsidP="00FB4D4B">
            <w:pPr>
              <w:jc w:val="center"/>
              <w:rPr>
                <w:highlight w:val="yellow"/>
              </w:rPr>
            </w:pPr>
            <w:r>
              <w:t>10.</w:t>
            </w:r>
          </w:p>
        </w:tc>
        <w:tc>
          <w:tcPr>
            <w:tcW w:w="3402" w:type="dxa"/>
            <w:tcBorders>
              <w:top w:val="single" w:sz="4" w:space="0" w:color="auto"/>
              <w:left w:val="single" w:sz="4" w:space="0" w:color="auto"/>
              <w:bottom w:val="single" w:sz="4" w:space="0" w:color="auto"/>
              <w:right w:val="single" w:sz="4" w:space="0" w:color="auto"/>
            </w:tcBorders>
            <w:vAlign w:val="center"/>
            <w:hideMark/>
          </w:tcPr>
          <w:p w:rsidR="00CE7124" w:rsidRDefault="00CE7124" w:rsidP="00FB4D4B">
            <w:pPr>
              <w:jc w:val="both"/>
              <w:rPr>
                <w:highlight w:val="yellow"/>
              </w:rPr>
            </w:pPr>
            <w:r w:rsidRPr="006B1298">
              <w:t>Vidutinė hospitalizuotų pacientų gydymo trukmė įstaigoje pagal sveikatos apsaugos ministro nustatytas paslaugų grupes (taikoma tik antrinio ir tretinio lygio asmens sveikatos priežiūros paslaugas teikiančioms įstaigoms)</w:t>
            </w:r>
          </w:p>
          <w:p w:rsidR="00CE7124" w:rsidRDefault="00CE7124" w:rsidP="00FB4D4B">
            <w:pPr>
              <w:rPr>
                <w:highlight w:val="yellow"/>
              </w:rPr>
            </w:pPr>
          </w:p>
          <w:p w:rsidR="00CE7124" w:rsidRDefault="00CE7124" w:rsidP="00FB4D4B">
            <w:pPr>
              <w:rPr>
                <w:highlight w:val="yellow"/>
              </w:rPr>
            </w:pPr>
          </w:p>
          <w:p w:rsidR="00CE7124" w:rsidRPr="00DD1ED7" w:rsidRDefault="00CE7124" w:rsidP="00FB4D4B">
            <w:pPr>
              <w:rPr>
                <w:highlight w:val="yellow"/>
              </w:rPr>
            </w:pPr>
          </w:p>
        </w:tc>
        <w:tc>
          <w:tcPr>
            <w:tcW w:w="3402" w:type="dxa"/>
            <w:tcBorders>
              <w:top w:val="single" w:sz="4" w:space="0" w:color="auto"/>
              <w:left w:val="single" w:sz="4" w:space="0" w:color="auto"/>
              <w:right w:val="single" w:sz="4" w:space="0" w:color="auto"/>
            </w:tcBorders>
            <w:vAlign w:val="center"/>
            <w:hideMark/>
          </w:tcPr>
          <w:p w:rsidR="00CE7124" w:rsidRDefault="00CE7124" w:rsidP="00FB4D4B">
            <w:r>
              <w:t>Vidutinė  chirurgijos paslaugų grupės gydymo trukmė – ne ilgiau kaip 6,</w:t>
            </w:r>
            <w:r w:rsidRPr="006F74A9">
              <w:rPr>
                <w:lang w:val="lt-LT"/>
              </w:rPr>
              <w:t>8</w:t>
            </w:r>
            <w:r>
              <w:t xml:space="preserve"> dienos.</w:t>
            </w:r>
          </w:p>
          <w:p w:rsidR="00CE7124" w:rsidRDefault="00CE7124" w:rsidP="00FB4D4B">
            <w:pPr>
              <w:rPr>
                <w:b/>
              </w:rPr>
            </w:pPr>
          </w:p>
          <w:p w:rsidR="00CE7124" w:rsidRDefault="00CE7124" w:rsidP="00FB4D4B">
            <w:pPr>
              <w:rPr>
                <w:b/>
              </w:rPr>
            </w:pPr>
            <w:r>
              <w:t>Vidutinė terapijos paslaugų grupės gydymo trukmė – ne ilgiau kaip 9,5 dienos.</w:t>
            </w:r>
          </w:p>
          <w:p w:rsidR="00CE7124" w:rsidRDefault="00CE7124" w:rsidP="00FB4D4B"/>
          <w:p w:rsidR="00CE7124" w:rsidRPr="00DD1ED7" w:rsidRDefault="00CE7124" w:rsidP="00FB4D4B"/>
        </w:tc>
        <w:tc>
          <w:tcPr>
            <w:tcW w:w="1984" w:type="dxa"/>
            <w:tcBorders>
              <w:top w:val="single" w:sz="4" w:space="0" w:color="auto"/>
              <w:left w:val="single" w:sz="4" w:space="0" w:color="auto"/>
              <w:right w:val="single" w:sz="4" w:space="0" w:color="auto"/>
            </w:tcBorders>
          </w:tcPr>
          <w:p w:rsidR="00CE7124" w:rsidRDefault="00CE7124" w:rsidP="00FB4D4B"/>
          <w:p w:rsidR="00CE7124" w:rsidRDefault="00CE7124" w:rsidP="00FB4D4B">
            <w:r>
              <w:t>Vidutinė chirurgijos paslaugų grupės gydymo trukmė – 7,6 dienos.</w:t>
            </w:r>
          </w:p>
          <w:p w:rsidR="00CE7124" w:rsidRDefault="00CE7124" w:rsidP="00FB4D4B"/>
          <w:p w:rsidR="00CE7124" w:rsidRDefault="00CE7124" w:rsidP="00FB4D4B">
            <w:r>
              <w:t>Vidutinė terapijos paslaugų grupės gydymo trukmė – 8,9 dienos.</w:t>
            </w:r>
          </w:p>
        </w:tc>
      </w:tr>
      <w:tr w:rsidR="00CE7124" w:rsidTr="00C61562">
        <w:tc>
          <w:tcPr>
            <w:tcW w:w="709" w:type="dxa"/>
            <w:tcBorders>
              <w:top w:val="single" w:sz="4" w:space="0" w:color="auto"/>
              <w:left w:val="single" w:sz="4" w:space="0" w:color="auto"/>
              <w:bottom w:val="single" w:sz="4" w:space="0" w:color="auto"/>
              <w:right w:val="single" w:sz="4" w:space="0" w:color="auto"/>
            </w:tcBorders>
            <w:vAlign w:val="center"/>
            <w:hideMark/>
          </w:tcPr>
          <w:p w:rsidR="00CE7124" w:rsidRDefault="00CE7124" w:rsidP="00FB4D4B">
            <w:pPr>
              <w:jc w:val="center"/>
            </w:pPr>
            <w:r>
              <w:t>11.</w:t>
            </w:r>
          </w:p>
        </w:tc>
        <w:tc>
          <w:tcPr>
            <w:tcW w:w="3402" w:type="dxa"/>
            <w:tcBorders>
              <w:top w:val="single" w:sz="4" w:space="0" w:color="auto"/>
              <w:left w:val="single" w:sz="4" w:space="0" w:color="auto"/>
              <w:bottom w:val="single" w:sz="4" w:space="0" w:color="auto"/>
              <w:right w:val="single" w:sz="4" w:space="0" w:color="auto"/>
            </w:tcBorders>
            <w:vAlign w:val="center"/>
            <w:hideMark/>
          </w:tcPr>
          <w:p w:rsidR="00CE7124" w:rsidRPr="006B1298" w:rsidRDefault="00CE7124" w:rsidP="00FB4D4B">
            <w:pPr>
              <w:jc w:val="both"/>
            </w:pPr>
            <w:r w:rsidRPr="006B1298">
              <w:t>Lovos užimtumo rodiklis įstaigoje pagal sveikatos apsaugos ministro nustatytas paslaugų grupes (taikoma tik antrinio ir tretinio lygio asmens sveikatos priežiūros paslaugas teikiančioms įstaigoms)</w:t>
            </w:r>
          </w:p>
        </w:tc>
        <w:tc>
          <w:tcPr>
            <w:tcW w:w="3402" w:type="dxa"/>
            <w:tcBorders>
              <w:top w:val="single" w:sz="4" w:space="0" w:color="auto"/>
              <w:left w:val="single" w:sz="4" w:space="0" w:color="auto"/>
              <w:bottom w:val="single" w:sz="4" w:space="0" w:color="auto"/>
              <w:right w:val="single" w:sz="4" w:space="0" w:color="auto"/>
            </w:tcBorders>
            <w:vAlign w:val="center"/>
          </w:tcPr>
          <w:p w:rsidR="00CE7124" w:rsidRDefault="00CE7124" w:rsidP="00FB4D4B">
            <w:pPr>
              <w:ind w:left="316"/>
              <w:jc w:val="center"/>
            </w:pPr>
            <w:r>
              <w:t>ASPĮ, aktyvaus gydymo lovos užimtumas  –</w:t>
            </w:r>
          </w:p>
          <w:p w:rsidR="00CE7124" w:rsidRDefault="00CE7124" w:rsidP="00FB4D4B">
            <w:pPr>
              <w:ind w:left="316"/>
              <w:jc w:val="center"/>
            </w:pPr>
            <w:r>
              <w:t>ne mažiau kaip 300 d. / 82,2 %</w:t>
            </w:r>
          </w:p>
          <w:p w:rsidR="00CE7124" w:rsidRDefault="00CE7124" w:rsidP="00FB4D4B">
            <w:pPr>
              <w:jc w:val="center"/>
            </w:pPr>
          </w:p>
        </w:tc>
        <w:tc>
          <w:tcPr>
            <w:tcW w:w="1984" w:type="dxa"/>
            <w:tcBorders>
              <w:top w:val="single" w:sz="4" w:space="0" w:color="auto"/>
              <w:left w:val="single" w:sz="4" w:space="0" w:color="auto"/>
              <w:bottom w:val="single" w:sz="4" w:space="0" w:color="auto"/>
              <w:right w:val="single" w:sz="4" w:space="0" w:color="auto"/>
            </w:tcBorders>
          </w:tcPr>
          <w:p w:rsidR="00CE7124" w:rsidRDefault="00CE7124" w:rsidP="00FB4D4B">
            <w:pPr>
              <w:ind w:left="316"/>
            </w:pPr>
            <w:r>
              <w:t>Lovos užimtumo rodiklis – 209 / 57,5%.</w:t>
            </w:r>
          </w:p>
        </w:tc>
      </w:tr>
      <w:tr w:rsidR="00CE7124" w:rsidRPr="00CE7124" w:rsidTr="00C61562">
        <w:tc>
          <w:tcPr>
            <w:tcW w:w="709" w:type="dxa"/>
            <w:tcBorders>
              <w:top w:val="single" w:sz="4" w:space="0" w:color="auto"/>
              <w:left w:val="single" w:sz="4" w:space="0" w:color="auto"/>
              <w:bottom w:val="single" w:sz="4" w:space="0" w:color="auto"/>
              <w:right w:val="single" w:sz="4" w:space="0" w:color="auto"/>
            </w:tcBorders>
            <w:vAlign w:val="center"/>
            <w:hideMark/>
          </w:tcPr>
          <w:p w:rsidR="00CE7124" w:rsidRDefault="00CE7124" w:rsidP="00FB4D4B">
            <w:pPr>
              <w:jc w:val="center"/>
              <w:rPr>
                <w:b/>
              </w:rPr>
            </w:pPr>
            <w:r>
              <w:rPr>
                <w:b/>
              </w:rPr>
              <w:t>III</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CE7124" w:rsidRPr="00CE7124" w:rsidRDefault="00CE7124" w:rsidP="00FB4D4B">
            <w:pPr>
              <w:rPr>
                <w:lang w:val="en-US"/>
              </w:rPr>
            </w:pPr>
            <w:r w:rsidRPr="00CE7124">
              <w:rPr>
                <w:b/>
                <w:lang w:val="en-US"/>
              </w:rPr>
              <w:t>Papildomi veiklos rezultatų vertinimo rodikliai:</w:t>
            </w:r>
          </w:p>
        </w:tc>
        <w:tc>
          <w:tcPr>
            <w:tcW w:w="1984" w:type="dxa"/>
            <w:tcBorders>
              <w:top w:val="single" w:sz="4" w:space="0" w:color="auto"/>
              <w:left w:val="single" w:sz="4" w:space="0" w:color="auto"/>
              <w:bottom w:val="single" w:sz="4" w:space="0" w:color="auto"/>
              <w:right w:val="single" w:sz="4" w:space="0" w:color="auto"/>
            </w:tcBorders>
          </w:tcPr>
          <w:p w:rsidR="00CE7124" w:rsidRPr="00CE7124" w:rsidRDefault="00CE7124" w:rsidP="00FB4D4B">
            <w:pPr>
              <w:rPr>
                <w:b/>
                <w:lang w:val="en-US"/>
              </w:rPr>
            </w:pPr>
          </w:p>
        </w:tc>
      </w:tr>
      <w:tr w:rsidR="00CE7124" w:rsidTr="00C61562">
        <w:tc>
          <w:tcPr>
            <w:tcW w:w="709" w:type="dxa"/>
            <w:tcBorders>
              <w:top w:val="single" w:sz="4" w:space="0" w:color="auto"/>
              <w:left w:val="single" w:sz="4" w:space="0" w:color="auto"/>
              <w:bottom w:val="single" w:sz="4" w:space="0" w:color="auto"/>
              <w:right w:val="single" w:sz="4" w:space="0" w:color="auto"/>
            </w:tcBorders>
            <w:vAlign w:val="center"/>
            <w:hideMark/>
          </w:tcPr>
          <w:p w:rsidR="00CE7124" w:rsidRDefault="00CE7124" w:rsidP="00FB4D4B">
            <w:pPr>
              <w:jc w:val="center"/>
            </w:pPr>
            <w:r>
              <w:t>1.</w:t>
            </w:r>
          </w:p>
        </w:tc>
        <w:tc>
          <w:tcPr>
            <w:tcW w:w="3402" w:type="dxa"/>
            <w:tcBorders>
              <w:top w:val="single" w:sz="4" w:space="0" w:color="auto"/>
              <w:left w:val="single" w:sz="4" w:space="0" w:color="auto"/>
              <w:bottom w:val="single" w:sz="4" w:space="0" w:color="auto"/>
              <w:right w:val="single" w:sz="4" w:space="0" w:color="auto"/>
            </w:tcBorders>
            <w:hideMark/>
          </w:tcPr>
          <w:p w:rsidR="00CE7124" w:rsidRPr="006B1298" w:rsidRDefault="00CE7124" w:rsidP="00FB4D4B">
            <w:pPr>
              <w:jc w:val="both"/>
            </w:pPr>
            <w:r w:rsidRPr="006B1298">
              <w:t>Absoliutaus likvidumo rodiklis</w:t>
            </w:r>
          </w:p>
        </w:tc>
        <w:tc>
          <w:tcPr>
            <w:tcW w:w="3402" w:type="dxa"/>
            <w:tcBorders>
              <w:top w:val="single" w:sz="4" w:space="0" w:color="auto"/>
              <w:left w:val="single" w:sz="4" w:space="0" w:color="auto"/>
              <w:bottom w:val="single" w:sz="4" w:space="0" w:color="auto"/>
              <w:right w:val="single" w:sz="4" w:space="0" w:color="auto"/>
            </w:tcBorders>
            <w:vAlign w:val="center"/>
            <w:hideMark/>
          </w:tcPr>
          <w:p w:rsidR="00CE7124" w:rsidRDefault="00CE7124" w:rsidP="00FB4D4B">
            <w:pPr>
              <w:jc w:val="center"/>
            </w:pPr>
            <w:r>
              <w:t>Nuo 0,5 iki 1</w:t>
            </w:r>
          </w:p>
        </w:tc>
        <w:tc>
          <w:tcPr>
            <w:tcW w:w="1984" w:type="dxa"/>
            <w:tcBorders>
              <w:top w:val="single" w:sz="4" w:space="0" w:color="auto"/>
              <w:left w:val="single" w:sz="4" w:space="0" w:color="auto"/>
              <w:bottom w:val="single" w:sz="4" w:space="0" w:color="auto"/>
              <w:right w:val="single" w:sz="4" w:space="0" w:color="auto"/>
            </w:tcBorders>
          </w:tcPr>
          <w:p w:rsidR="00CE7124" w:rsidRDefault="00CE7124" w:rsidP="00FB4D4B">
            <w:pPr>
              <w:jc w:val="center"/>
            </w:pPr>
            <w:r>
              <w:t>0,7</w:t>
            </w:r>
          </w:p>
        </w:tc>
      </w:tr>
      <w:tr w:rsidR="00CE7124" w:rsidTr="00C61562">
        <w:tc>
          <w:tcPr>
            <w:tcW w:w="709" w:type="dxa"/>
            <w:tcBorders>
              <w:top w:val="single" w:sz="4" w:space="0" w:color="auto"/>
              <w:left w:val="single" w:sz="4" w:space="0" w:color="auto"/>
              <w:bottom w:val="single" w:sz="4" w:space="0" w:color="auto"/>
              <w:right w:val="single" w:sz="4" w:space="0" w:color="auto"/>
            </w:tcBorders>
            <w:vAlign w:val="center"/>
            <w:hideMark/>
          </w:tcPr>
          <w:p w:rsidR="00CE7124" w:rsidRDefault="00CE7124" w:rsidP="00FB4D4B">
            <w:pPr>
              <w:jc w:val="center"/>
            </w:pPr>
            <w: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CE7124" w:rsidRPr="006B1298" w:rsidRDefault="00CE7124" w:rsidP="00FB4D4B">
            <w:pPr>
              <w:jc w:val="both"/>
            </w:pPr>
            <w:r w:rsidRPr="006B1298">
              <w:t xml:space="preserve">Vaistų, kurie įsigyti per VšĮ Centrinės perkančiosios organizacijos (toliau – VšĮ CPO LT) elektroninį katalogą, vertės </w:t>
            </w:r>
            <w:r w:rsidRPr="006B1298">
              <w:lastRenderedPageBreak/>
              <w:t>dalis nuo bendros vaistų, kuriuos galima įsigyti per VšĮ CPO LT elektroninį katalogą, vertės</w:t>
            </w:r>
          </w:p>
        </w:tc>
        <w:tc>
          <w:tcPr>
            <w:tcW w:w="3402" w:type="dxa"/>
            <w:tcBorders>
              <w:top w:val="single" w:sz="4" w:space="0" w:color="auto"/>
              <w:left w:val="single" w:sz="4" w:space="0" w:color="auto"/>
              <w:bottom w:val="single" w:sz="4" w:space="0" w:color="auto"/>
              <w:right w:val="single" w:sz="4" w:space="0" w:color="auto"/>
            </w:tcBorders>
            <w:vAlign w:val="center"/>
            <w:hideMark/>
          </w:tcPr>
          <w:p w:rsidR="00CE7124" w:rsidRDefault="00CE7124" w:rsidP="00FB4D4B">
            <w:pPr>
              <w:jc w:val="center"/>
            </w:pPr>
            <w:r>
              <w:lastRenderedPageBreak/>
              <w:t>Ne mažiau kaip 80 proc.</w:t>
            </w:r>
          </w:p>
        </w:tc>
        <w:tc>
          <w:tcPr>
            <w:tcW w:w="1984" w:type="dxa"/>
            <w:tcBorders>
              <w:top w:val="single" w:sz="4" w:space="0" w:color="auto"/>
              <w:left w:val="single" w:sz="4" w:space="0" w:color="auto"/>
              <w:bottom w:val="single" w:sz="4" w:space="0" w:color="auto"/>
              <w:right w:val="single" w:sz="4" w:space="0" w:color="auto"/>
            </w:tcBorders>
          </w:tcPr>
          <w:p w:rsidR="00CE7124" w:rsidRDefault="00CE7124" w:rsidP="00FB4D4B">
            <w:pPr>
              <w:jc w:val="center"/>
            </w:pPr>
          </w:p>
          <w:p w:rsidR="00CE7124" w:rsidRDefault="00CE7124" w:rsidP="00FB4D4B">
            <w:pPr>
              <w:jc w:val="center"/>
            </w:pPr>
          </w:p>
          <w:p w:rsidR="00CE7124" w:rsidRDefault="00CE7124" w:rsidP="00FB4D4B">
            <w:pPr>
              <w:jc w:val="center"/>
            </w:pPr>
            <w:r>
              <w:t>82,5 %</w:t>
            </w:r>
          </w:p>
        </w:tc>
      </w:tr>
    </w:tbl>
    <w:p w:rsidR="00F55C83" w:rsidRDefault="00F55C83" w:rsidP="00B96168">
      <w:pPr>
        <w:jc w:val="center"/>
        <w:rPr>
          <w:b/>
          <w:lang w:val="lt-LT"/>
        </w:rPr>
      </w:pPr>
    </w:p>
    <w:p w:rsidR="00772F8E" w:rsidRDefault="00772F8E" w:rsidP="00772F8E">
      <w:pPr>
        <w:ind w:firstLine="851"/>
        <w:rPr>
          <w:lang w:val="lt-LT"/>
        </w:rPr>
      </w:pPr>
      <w:r>
        <w:rPr>
          <w:b/>
          <w:lang w:val="lt-LT"/>
        </w:rPr>
        <w:t xml:space="preserve"> </w:t>
      </w:r>
      <w:r w:rsidRPr="00772F8E">
        <w:rPr>
          <w:lang w:val="lt-LT"/>
        </w:rPr>
        <w:t>Atkreiptinas dėmesys į</w:t>
      </w:r>
      <w:r>
        <w:rPr>
          <w:lang w:val="lt-LT"/>
        </w:rPr>
        <w:t xml:space="preserve"> užduo</w:t>
      </w:r>
      <w:r w:rsidR="00496766">
        <w:rPr>
          <w:lang w:val="lt-LT"/>
        </w:rPr>
        <w:t>čių įvykdymo 10 ir 11 p., kuriuos</w:t>
      </w:r>
      <w:r>
        <w:rPr>
          <w:lang w:val="lt-LT"/>
        </w:rPr>
        <w:t>, nepriklausomai nuo ligoninės veiklos, ypač paveikė visus metus besitęsianti Covid-19 pandemija, ir ligoninė dėl fors major situacijos šių nustatytų rodiklių nepasiekė.</w:t>
      </w:r>
    </w:p>
    <w:p w:rsidR="00772F8E" w:rsidRPr="00772F8E" w:rsidRDefault="00772F8E" w:rsidP="00772F8E">
      <w:pPr>
        <w:ind w:firstLine="851"/>
        <w:rPr>
          <w:lang w:val="lt-LT"/>
        </w:rPr>
      </w:pPr>
    </w:p>
    <w:p w:rsidR="00914BDF" w:rsidRDefault="0070715A" w:rsidP="00914BDF">
      <w:pPr>
        <w:rPr>
          <w:b/>
          <w:lang w:val="en-US"/>
        </w:rPr>
      </w:pPr>
      <w:r>
        <w:rPr>
          <w:b/>
          <w:lang w:val="en-US"/>
        </w:rPr>
        <w:t>IV</w:t>
      </w:r>
      <w:r w:rsidRPr="0070715A">
        <w:rPr>
          <w:b/>
          <w:lang w:val="en-US"/>
        </w:rPr>
        <w:t xml:space="preserve">. </w:t>
      </w:r>
      <w:r w:rsidR="009436B0" w:rsidRPr="0070715A">
        <w:rPr>
          <w:b/>
          <w:lang w:val="en-US"/>
        </w:rPr>
        <w:t>Pagrindiniai finans</w:t>
      </w:r>
      <w:r>
        <w:rPr>
          <w:b/>
          <w:lang w:val="en-US"/>
        </w:rPr>
        <w:t>iniai rodikliai.</w:t>
      </w:r>
    </w:p>
    <w:p w:rsidR="00E773D9" w:rsidRPr="0070715A" w:rsidRDefault="00E773D9" w:rsidP="00914BDF">
      <w:pPr>
        <w:rPr>
          <w:b/>
          <w:lang w:val="en-US"/>
        </w:rPr>
      </w:pPr>
    </w:p>
    <w:p w:rsidR="00164095" w:rsidRDefault="00914BDF" w:rsidP="00914BDF">
      <w:pPr>
        <w:jc w:val="both"/>
        <w:rPr>
          <w:lang w:val="lt-LT"/>
        </w:rPr>
      </w:pPr>
      <w:r>
        <w:rPr>
          <w:lang w:val="en-US"/>
        </w:rPr>
        <w:t xml:space="preserve">     </w:t>
      </w:r>
      <w:r w:rsidR="009436B0">
        <w:rPr>
          <w:lang w:val="en-US"/>
        </w:rPr>
        <w:t xml:space="preserve">     </w:t>
      </w:r>
      <w:r w:rsidR="00D35A15">
        <w:rPr>
          <w:lang w:val="en-US"/>
        </w:rPr>
        <w:t xml:space="preserve">   </w:t>
      </w:r>
      <w:r w:rsidR="009436B0">
        <w:rPr>
          <w:lang w:val="en-US"/>
        </w:rPr>
        <w:t xml:space="preserve">  </w:t>
      </w:r>
      <w:r w:rsidR="00487C5C">
        <w:rPr>
          <w:lang w:val="lt-LT"/>
        </w:rPr>
        <w:t>Per 2020</w:t>
      </w:r>
      <w:r w:rsidR="004F1D78">
        <w:rPr>
          <w:lang w:val="lt-LT"/>
        </w:rPr>
        <w:t xml:space="preserve"> metus įstai</w:t>
      </w:r>
      <w:r w:rsidR="000F6AEF">
        <w:rPr>
          <w:lang w:val="lt-LT"/>
        </w:rPr>
        <w:t xml:space="preserve">goje dirbantieji sumokėjo </w:t>
      </w:r>
      <w:r w:rsidR="00487C5C">
        <w:rPr>
          <w:lang w:val="lt-LT"/>
        </w:rPr>
        <w:t>545603,50</w:t>
      </w:r>
      <w:r w:rsidR="004F1D78">
        <w:rPr>
          <w:lang w:val="lt-LT"/>
        </w:rPr>
        <w:t xml:space="preserve"> € fizinių asmenų paja</w:t>
      </w:r>
      <w:r w:rsidR="00E65C45">
        <w:rPr>
          <w:lang w:val="lt-LT"/>
        </w:rPr>
        <w:t>mų mokesčio</w:t>
      </w:r>
      <w:r w:rsidR="00324BE6">
        <w:rPr>
          <w:lang w:val="lt-LT"/>
        </w:rPr>
        <w:t>, kuris</w:t>
      </w:r>
      <w:r w:rsidR="004F1D78">
        <w:rPr>
          <w:lang w:val="lt-LT"/>
        </w:rPr>
        <w:t xml:space="preserve"> pateko į</w:t>
      </w:r>
      <w:r w:rsidR="000F6AEF">
        <w:rPr>
          <w:lang w:val="lt-LT"/>
        </w:rPr>
        <w:t xml:space="preserve"> rajono biudžetą.</w:t>
      </w:r>
    </w:p>
    <w:p w:rsidR="004F1D78" w:rsidRPr="00CE7124" w:rsidRDefault="004F1D78" w:rsidP="00914BDF">
      <w:pPr>
        <w:jc w:val="both"/>
        <w:rPr>
          <w:lang w:val="lt-LT"/>
        </w:rPr>
      </w:pPr>
      <w:r>
        <w:rPr>
          <w:lang w:val="lt-LT"/>
        </w:rPr>
        <w:t xml:space="preserve"> </w:t>
      </w:r>
      <w:r w:rsidR="00F40914">
        <w:rPr>
          <w:lang w:val="lt-LT"/>
        </w:rPr>
        <w:t xml:space="preserve">              </w:t>
      </w:r>
      <w:r>
        <w:rPr>
          <w:lang w:val="lt-LT"/>
        </w:rPr>
        <w:t>Per ataskaitinį laikotarpį ligoninei iš r</w:t>
      </w:r>
      <w:r w:rsidR="00487C5C">
        <w:rPr>
          <w:lang w:val="lt-LT"/>
        </w:rPr>
        <w:t>ajono biudžeto buvo skirti 58692</w:t>
      </w:r>
      <w:r w:rsidR="00CD0527">
        <w:rPr>
          <w:lang w:val="lt-LT"/>
        </w:rPr>
        <w:t xml:space="preserve"> €</w:t>
      </w:r>
      <w:r w:rsidR="00324BE6">
        <w:rPr>
          <w:lang w:val="lt-LT"/>
        </w:rPr>
        <w:t>.</w:t>
      </w:r>
      <w:r w:rsidR="00CD0527">
        <w:rPr>
          <w:lang w:val="lt-LT"/>
        </w:rPr>
        <w:t xml:space="preserve"> Šios lėšo</w:t>
      </w:r>
      <w:r w:rsidR="00164095">
        <w:rPr>
          <w:lang w:val="lt-LT"/>
        </w:rPr>
        <w:t xml:space="preserve">s </w:t>
      </w:r>
      <w:r w:rsidR="00487C5C">
        <w:rPr>
          <w:lang w:val="lt-LT"/>
        </w:rPr>
        <w:t xml:space="preserve"> panaudotos</w:t>
      </w:r>
      <w:r w:rsidR="0068424D">
        <w:rPr>
          <w:lang w:val="lt-LT"/>
        </w:rPr>
        <w:t xml:space="preserve"> užtikrinant kokybiškų sveikatos priežiūros paslaugų vaikams teikimą, išlaikant vaikų ligų skyrių, kaip numatyta rajono strateginiame plėtros plane.</w:t>
      </w:r>
    </w:p>
    <w:p w:rsidR="004F1D78" w:rsidRDefault="00D35A15" w:rsidP="00083762">
      <w:pPr>
        <w:jc w:val="both"/>
        <w:rPr>
          <w:color w:val="FF0000"/>
          <w:lang w:val="lt-LT"/>
        </w:rPr>
      </w:pPr>
      <w:r>
        <w:rPr>
          <w:lang w:val="lt-LT"/>
        </w:rPr>
        <w:t xml:space="preserve">              </w:t>
      </w:r>
      <w:r w:rsidR="00914BDF" w:rsidRPr="00CC0802">
        <w:rPr>
          <w:lang w:val="lt-LT"/>
        </w:rPr>
        <w:t xml:space="preserve"> </w:t>
      </w:r>
      <w:r w:rsidR="004F1D78" w:rsidRPr="00CC0802">
        <w:rPr>
          <w:lang w:val="lt-LT"/>
        </w:rPr>
        <w:t>Analizuojant da</w:t>
      </w:r>
      <w:r w:rsidR="0068424D">
        <w:rPr>
          <w:lang w:val="lt-LT"/>
        </w:rPr>
        <w:t>rbuotojų darbo užmokesčio</w:t>
      </w:r>
      <w:r w:rsidR="004F1D78" w:rsidRPr="00CC0802">
        <w:rPr>
          <w:lang w:val="lt-LT"/>
        </w:rPr>
        <w:t xml:space="preserve"> tendencijas</w:t>
      </w:r>
      <w:r w:rsidR="00985AE5">
        <w:rPr>
          <w:lang w:val="lt-LT"/>
        </w:rPr>
        <w:t xml:space="preserve"> matoma</w:t>
      </w:r>
      <w:r w:rsidR="00D464EA">
        <w:rPr>
          <w:lang w:val="lt-LT"/>
        </w:rPr>
        <w:t>,</w:t>
      </w:r>
      <w:r w:rsidR="00985AE5">
        <w:rPr>
          <w:lang w:val="lt-LT"/>
        </w:rPr>
        <w:t xml:space="preserve"> kad</w:t>
      </w:r>
      <w:r w:rsidR="00D464EA">
        <w:rPr>
          <w:lang w:val="lt-LT"/>
        </w:rPr>
        <w:t xml:space="preserve"> ataskaitiniais metais gydytojų darbo užmokestis</w:t>
      </w:r>
      <w:r w:rsidR="00F424D8">
        <w:rPr>
          <w:lang w:val="lt-LT"/>
        </w:rPr>
        <w:t xml:space="preserve"> vidutiniškai</w:t>
      </w:r>
      <w:r w:rsidR="004F4C30">
        <w:rPr>
          <w:lang w:val="lt-LT"/>
        </w:rPr>
        <w:t xml:space="preserve"> didėjo 18 %, slaugytojų – 19,5</w:t>
      </w:r>
      <w:r w:rsidR="00D464EA">
        <w:rPr>
          <w:lang w:val="lt-LT"/>
        </w:rPr>
        <w:t xml:space="preserve"> %.</w:t>
      </w:r>
    </w:p>
    <w:p w:rsidR="004F1D78" w:rsidRDefault="004F1D78" w:rsidP="004F1D78">
      <w:pPr>
        <w:rPr>
          <w:lang w:val="lt-LT"/>
        </w:rPr>
      </w:pPr>
    </w:p>
    <w:p w:rsidR="00B522D8" w:rsidRDefault="0068424D" w:rsidP="004F1D78">
      <w:pPr>
        <w:rPr>
          <w:lang w:val="en-US"/>
        </w:rPr>
      </w:pPr>
      <w:r>
        <w:rPr>
          <w:lang w:val="lt-LT"/>
        </w:rPr>
        <w:t xml:space="preserve">* </w:t>
      </w:r>
      <w:r w:rsidR="004F1D78">
        <w:rPr>
          <w:lang w:val="lt-LT"/>
        </w:rPr>
        <w:t>Lentelė: Vidutinis darbo užmokestis</w:t>
      </w:r>
      <w:r w:rsidR="00186EF8">
        <w:rPr>
          <w:lang w:val="lt-LT"/>
        </w:rPr>
        <w:t>.</w:t>
      </w:r>
      <w:r w:rsidR="009F6664">
        <w:rPr>
          <w:lang w:val="lt-LT"/>
        </w:rPr>
        <w:drawing>
          <wp:inline distT="0" distB="0" distL="0" distR="0" wp14:anchorId="11625A0A" wp14:editId="7C8412F4">
            <wp:extent cx="6152515" cy="4130040"/>
            <wp:effectExtent l="0" t="0" r="19685" b="22860"/>
            <wp:docPr id="2" name="Chart 2" descr="Vidutinis darbo užmokestis" title="Vidutinis darbo užmokestis"/>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522D8" w:rsidRDefault="0068424D" w:rsidP="004F1D78">
      <w:pPr>
        <w:rPr>
          <w:lang w:val="en-US"/>
        </w:rPr>
      </w:pPr>
      <w:r>
        <w:rPr>
          <w:lang w:val="en-US"/>
        </w:rPr>
        <w:t xml:space="preserve">              </w:t>
      </w:r>
      <w:r w:rsidR="007705FE">
        <w:rPr>
          <w:lang w:val="en-US"/>
        </w:rPr>
        <w:t>* nuo 20</w:t>
      </w:r>
      <w:r w:rsidR="00083762">
        <w:rPr>
          <w:lang w:val="en-US"/>
        </w:rPr>
        <w:t>20</w:t>
      </w:r>
      <w:r w:rsidR="007705FE">
        <w:rPr>
          <w:lang w:val="en-US"/>
        </w:rPr>
        <w:t xml:space="preserve"> </w:t>
      </w:r>
      <w:r>
        <w:rPr>
          <w:lang w:val="en-US"/>
        </w:rPr>
        <w:t>metų vidutinis darbo užmokestis pateikiamas su SODROS mokesčiais.</w:t>
      </w:r>
    </w:p>
    <w:p w:rsidR="0023353F" w:rsidRDefault="00D35A15" w:rsidP="00D35A15">
      <w:pPr>
        <w:ind w:right="-1"/>
        <w:jc w:val="both"/>
        <w:rPr>
          <w:lang w:val="lt-LT"/>
        </w:rPr>
      </w:pPr>
      <w:r>
        <w:rPr>
          <w:lang w:val="lt-LT"/>
        </w:rPr>
        <w:t xml:space="preserve">              </w:t>
      </w:r>
      <w:r w:rsidR="0023353F">
        <w:rPr>
          <w:lang w:val="lt-LT"/>
        </w:rPr>
        <w:t>Per ataskaitinį laikotarpį įstaig</w:t>
      </w:r>
      <w:r w:rsidR="0068424D">
        <w:rPr>
          <w:lang w:val="lt-LT"/>
        </w:rPr>
        <w:t>a uždirb</w:t>
      </w:r>
      <w:r w:rsidR="00D464EA">
        <w:rPr>
          <w:lang w:val="lt-LT"/>
        </w:rPr>
        <w:t>o</w:t>
      </w:r>
      <w:r w:rsidR="00487C5C">
        <w:rPr>
          <w:lang w:val="lt-LT"/>
        </w:rPr>
        <w:t xml:space="preserve"> 4847264 €. Iš jų 4793939</w:t>
      </w:r>
      <w:r w:rsidR="0023353F">
        <w:rPr>
          <w:lang w:val="lt-LT"/>
        </w:rPr>
        <w:t xml:space="preserve">  € gauta  iš Privalomojo sveikatos draudimo fondo (PSDF). Kitos lėšos gautos  už mokamas paslaugas iš juridinių ir fizinių asmenų.  Įstaigos debitorinis įsiskolinimas iš ligonių kasų ataskaitinio </w:t>
      </w:r>
      <w:r w:rsidR="00487C5C">
        <w:rPr>
          <w:lang w:val="lt-LT"/>
        </w:rPr>
        <w:t>laikotarpio pabaigai buvo 460934</w:t>
      </w:r>
      <w:r w:rsidR="0023353F">
        <w:rPr>
          <w:lang w:val="lt-LT"/>
        </w:rPr>
        <w:t xml:space="preserve"> €.</w:t>
      </w:r>
    </w:p>
    <w:p w:rsidR="002B65F8" w:rsidRDefault="00D35A15" w:rsidP="00D35A15">
      <w:pPr>
        <w:ind w:right="-1"/>
        <w:jc w:val="both"/>
        <w:rPr>
          <w:lang w:val="lt-LT"/>
        </w:rPr>
      </w:pPr>
      <w:r>
        <w:rPr>
          <w:lang w:val="lt-LT"/>
        </w:rPr>
        <w:t xml:space="preserve">                </w:t>
      </w:r>
      <w:r w:rsidR="0023353F">
        <w:rPr>
          <w:lang w:val="lt-LT"/>
        </w:rPr>
        <w:t>Įstaigos veiklos rezultatas per finansinius metus</w:t>
      </w:r>
      <w:r w:rsidR="008D29A2">
        <w:rPr>
          <w:lang w:val="lt-LT"/>
        </w:rPr>
        <w:t xml:space="preserve"> - </w:t>
      </w:r>
      <w:r w:rsidR="00487C5C">
        <w:rPr>
          <w:lang w:val="lt-LT"/>
        </w:rPr>
        <w:t>teigiamas (+124625</w:t>
      </w:r>
      <w:r w:rsidR="008D29A2">
        <w:rPr>
          <w:lang w:val="lt-LT"/>
        </w:rPr>
        <w:t xml:space="preserve"> €</w:t>
      </w:r>
      <w:r w:rsidR="00F303CC">
        <w:rPr>
          <w:lang w:val="lt-LT"/>
        </w:rPr>
        <w:t>)</w:t>
      </w:r>
      <w:r w:rsidR="008D29A2">
        <w:rPr>
          <w:lang w:val="lt-LT"/>
        </w:rPr>
        <w:t>.</w:t>
      </w:r>
      <w:r w:rsidR="002B65F8">
        <w:rPr>
          <w:lang w:val="lt-LT"/>
        </w:rPr>
        <w:t xml:space="preserve"> </w:t>
      </w:r>
    </w:p>
    <w:p w:rsidR="003544D9" w:rsidRDefault="002B65F8" w:rsidP="00D35A15">
      <w:pPr>
        <w:ind w:right="-1"/>
        <w:jc w:val="both"/>
        <w:rPr>
          <w:lang w:val="lt-LT"/>
        </w:rPr>
      </w:pPr>
      <w:r>
        <w:rPr>
          <w:lang w:val="lt-LT"/>
        </w:rPr>
        <w:lastRenderedPageBreak/>
        <w:t xml:space="preserve">              </w:t>
      </w:r>
      <w:r w:rsidR="00D35A15">
        <w:rPr>
          <w:lang w:val="lt-LT"/>
        </w:rPr>
        <w:t xml:space="preserve"> </w:t>
      </w:r>
      <w:r w:rsidR="0023353F" w:rsidRPr="00CC0802">
        <w:rPr>
          <w:lang w:val="lt-LT"/>
        </w:rPr>
        <w:t>Ligoninės išlaidų struktūroje didžiausią dalį sudarė darbo užmokestis su socialinio draudi</w:t>
      </w:r>
      <w:r w:rsidR="00CC0802">
        <w:rPr>
          <w:lang w:val="lt-LT"/>
        </w:rPr>
        <w:t>mo mokes</w:t>
      </w:r>
      <w:r w:rsidR="00487C5C">
        <w:rPr>
          <w:lang w:val="lt-LT"/>
        </w:rPr>
        <w:t>čiu – 3816488</w:t>
      </w:r>
      <w:r w:rsidR="00736581">
        <w:rPr>
          <w:lang w:val="lt-LT"/>
        </w:rPr>
        <w:t xml:space="preserve"> €</w:t>
      </w:r>
      <w:r w:rsidR="00487C5C">
        <w:rPr>
          <w:lang w:val="lt-LT"/>
        </w:rPr>
        <w:t>, tai sudarė 77,3</w:t>
      </w:r>
      <w:r w:rsidR="0068424D">
        <w:rPr>
          <w:lang w:val="lt-LT"/>
        </w:rPr>
        <w:t xml:space="preserve"> </w:t>
      </w:r>
      <w:r w:rsidR="00B97000">
        <w:rPr>
          <w:lang w:val="lt-LT"/>
        </w:rPr>
        <w:t xml:space="preserve"> % įstaigos sąnaudų</w:t>
      </w:r>
      <w:r w:rsidR="00487C5C">
        <w:rPr>
          <w:lang w:val="lt-LT"/>
        </w:rPr>
        <w:t xml:space="preserve"> ir lyginant su 2019</w:t>
      </w:r>
      <w:r w:rsidR="0068424D">
        <w:rPr>
          <w:lang w:val="lt-LT"/>
        </w:rPr>
        <w:t xml:space="preserve"> meta</w:t>
      </w:r>
      <w:r w:rsidR="00487C5C">
        <w:rPr>
          <w:lang w:val="lt-LT"/>
        </w:rPr>
        <w:t>is išaugo 2,3</w:t>
      </w:r>
      <w:r w:rsidR="0068424D">
        <w:rPr>
          <w:lang w:val="lt-LT"/>
        </w:rPr>
        <w:t xml:space="preserve"> </w:t>
      </w:r>
      <w:r w:rsidR="00736581">
        <w:rPr>
          <w:lang w:val="lt-LT"/>
        </w:rPr>
        <w:t xml:space="preserve"> %.</w:t>
      </w:r>
    </w:p>
    <w:p w:rsidR="00736581" w:rsidRDefault="00736581" w:rsidP="00D35A15">
      <w:pPr>
        <w:ind w:right="-1"/>
        <w:jc w:val="both"/>
        <w:rPr>
          <w:lang w:val="lt-LT"/>
        </w:rPr>
      </w:pPr>
    </w:p>
    <w:p w:rsidR="00736581" w:rsidRDefault="00736581" w:rsidP="00D35A15">
      <w:pPr>
        <w:ind w:right="-1"/>
        <w:jc w:val="both"/>
        <w:rPr>
          <w:lang w:val="lt-LT"/>
        </w:rPr>
      </w:pPr>
    </w:p>
    <w:p w:rsidR="003544D9" w:rsidRDefault="00A95F5B" w:rsidP="002B65F8">
      <w:pPr>
        <w:ind w:left="567" w:right="-1" w:hanging="709"/>
        <w:jc w:val="both"/>
        <w:rPr>
          <w:lang w:val="lt-LT"/>
        </w:rPr>
      </w:pPr>
      <w:r>
        <w:rPr>
          <w:lang w:val="lt-LT"/>
        </w:rPr>
        <w:t xml:space="preserve">* </w:t>
      </w:r>
      <w:r w:rsidR="0023353F">
        <w:rPr>
          <w:lang w:val="lt-LT"/>
        </w:rPr>
        <w:t>Lentelė:  Ša</w:t>
      </w:r>
      <w:r w:rsidR="00736581">
        <w:rPr>
          <w:lang w:val="lt-LT"/>
        </w:rPr>
        <w:t>kių ligoninės išlaidų struktūra (procentais).</w:t>
      </w:r>
    </w:p>
    <w:p w:rsidR="00CD4636" w:rsidRDefault="00CD4636" w:rsidP="002B65F8">
      <w:pPr>
        <w:ind w:left="567" w:right="-1" w:hanging="709"/>
        <w:jc w:val="both"/>
        <w:rPr>
          <w:lang w:val="lt-LT"/>
        </w:rPr>
      </w:pPr>
    </w:p>
    <w:p w:rsidR="00F8754E" w:rsidRPr="00F8754E" w:rsidRDefault="00F8754E" w:rsidP="00F8754E">
      <w:pPr>
        <w:tabs>
          <w:tab w:val="left" w:pos="9180"/>
          <w:tab w:val="left" w:pos="12240"/>
        </w:tabs>
        <w:rPr>
          <w:rFonts w:asciiTheme="minorHAnsi" w:hAnsiTheme="minorHAnsi"/>
          <w:noProof w:val="0"/>
          <w:lang w:val="lt-LT" w:eastAsia="en-US"/>
        </w:rPr>
      </w:pPr>
    </w:p>
    <w:tbl>
      <w:tblPr>
        <w:tblW w:w="10173" w:type="dxa"/>
        <w:tblBorders>
          <w:insideH w:val="single" w:sz="18" w:space="0" w:color="FFFFFF"/>
          <w:insideV w:val="single" w:sz="18" w:space="0" w:color="FFFFFF"/>
        </w:tblBorders>
        <w:tblLook w:val="01E0" w:firstRow="1" w:lastRow="1" w:firstColumn="1" w:lastColumn="1" w:noHBand="0" w:noVBand="0"/>
      </w:tblPr>
      <w:tblGrid>
        <w:gridCol w:w="3085"/>
        <w:gridCol w:w="1417"/>
        <w:gridCol w:w="1418"/>
        <w:gridCol w:w="1417"/>
        <w:gridCol w:w="1418"/>
        <w:gridCol w:w="1418"/>
      </w:tblGrid>
      <w:tr w:rsidR="00782B7F" w:rsidTr="00782B7F">
        <w:trPr>
          <w:trHeight w:val="272"/>
        </w:trPr>
        <w:tc>
          <w:tcPr>
            <w:tcW w:w="3085" w:type="dxa"/>
            <w:tcBorders>
              <w:top w:val="nil"/>
              <w:left w:val="nil"/>
              <w:bottom w:val="single" w:sz="18" w:space="0" w:color="FFFFFF"/>
              <w:right w:val="single" w:sz="18" w:space="0" w:color="FFFFFF"/>
            </w:tcBorders>
            <w:shd w:val="pct20" w:color="000000" w:fill="FFFFFF"/>
          </w:tcPr>
          <w:p w:rsidR="00782B7F" w:rsidRDefault="00782B7F">
            <w:pPr>
              <w:tabs>
                <w:tab w:val="left" w:pos="9180"/>
                <w:tab w:val="left" w:pos="12240"/>
              </w:tabs>
              <w:rPr>
                <w:rFonts w:asciiTheme="minorHAnsi" w:hAnsiTheme="minorHAnsi"/>
                <w:b/>
                <w:bCs/>
                <w:noProof w:val="0"/>
                <w:sz w:val="28"/>
                <w:szCs w:val="28"/>
                <w:lang w:val="lt-LT"/>
              </w:rPr>
            </w:pPr>
            <w:bookmarkStart w:id="1" w:name="_Hlk3362177"/>
          </w:p>
        </w:tc>
        <w:tc>
          <w:tcPr>
            <w:tcW w:w="1417" w:type="dxa"/>
            <w:tcBorders>
              <w:top w:val="nil"/>
              <w:left w:val="single" w:sz="18" w:space="0" w:color="FFFFFF"/>
              <w:bottom w:val="single" w:sz="18" w:space="0" w:color="FFFFFF"/>
              <w:right w:val="single" w:sz="18" w:space="0" w:color="FFFFFF"/>
            </w:tcBorders>
            <w:shd w:val="pct20" w:color="000000" w:fill="FFFFFF"/>
            <w:hideMark/>
          </w:tcPr>
          <w:p w:rsidR="00782B7F" w:rsidRDefault="00782B7F">
            <w:pPr>
              <w:tabs>
                <w:tab w:val="left" w:pos="9180"/>
                <w:tab w:val="left" w:pos="12240"/>
              </w:tabs>
              <w:jc w:val="center"/>
              <w:rPr>
                <w:rFonts w:asciiTheme="minorHAnsi" w:hAnsiTheme="minorHAnsi"/>
                <w:b/>
                <w:bCs/>
                <w:sz w:val="32"/>
                <w:szCs w:val="32"/>
              </w:rPr>
            </w:pPr>
            <w:r>
              <w:rPr>
                <w:rFonts w:asciiTheme="minorHAnsi" w:hAnsiTheme="minorHAnsi"/>
                <w:b/>
                <w:bCs/>
                <w:sz w:val="32"/>
                <w:szCs w:val="32"/>
              </w:rPr>
              <w:t>2016 m.</w:t>
            </w:r>
          </w:p>
        </w:tc>
        <w:tc>
          <w:tcPr>
            <w:tcW w:w="1418" w:type="dxa"/>
            <w:tcBorders>
              <w:top w:val="nil"/>
              <w:left w:val="single" w:sz="18" w:space="0" w:color="FFFFFF"/>
              <w:bottom w:val="single" w:sz="18" w:space="0" w:color="FFFFFF"/>
              <w:right w:val="single" w:sz="18" w:space="0" w:color="FFFFFF"/>
            </w:tcBorders>
            <w:shd w:val="pct20" w:color="000000" w:fill="FFFFFF"/>
            <w:hideMark/>
          </w:tcPr>
          <w:p w:rsidR="00782B7F" w:rsidRDefault="00782B7F">
            <w:pPr>
              <w:tabs>
                <w:tab w:val="left" w:pos="9180"/>
                <w:tab w:val="left" w:pos="12240"/>
              </w:tabs>
              <w:jc w:val="center"/>
              <w:rPr>
                <w:rFonts w:asciiTheme="minorHAnsi" w:hAnsiTheme="minorHAnsi"/>
                <w:b/>
                <w:bCs/>
                <w:sz w:val="32"/>
                <w:szCs w:val="32"/>
              </w:rPr>
            </w:pPr>
            <w:r>
              <w:rPr>
                <w:rFonts w:asciiTheme="minorHAnsi" w:hAnsiTheme="minorHAnsi"/>
                <w:b/>
                <w:bCs/>
                <w:sz w:val="32"/>
                <w:szCs w:val="32"/>
              </w:rPr>
              <w:t>2017 m.</w:t>
            </w:r>
          </w:p>
        </w:tc>
        <w:tc>
          <w:tcPr>
            <w:tcW w:w="1417" w:type="dxa"/>
            <w:tcBorders>
              <w:top w:val="nil"/>
              <w:left w:val="single" w:sz="18" w:space="0" w:color="FFFFFF"/>
              <w:bottom w:val="single" w:sz="18" w:space="0" w:color="FFFFFF"/>
              <w:right w:val="single" w:sz="18" w:space="0" w:color="FFFFFF"/>
            </w:tcBorders>
            <w:shd w:val="pct20" w:color="000000" w:fill="FFFFFF"/>
            <w:hideMark/>
          </w:tcPr>
          <w:p w:rsidR="00782B7F" w:rsidRDefault="00782B7F">
            <w:pPr>
              <w:tabs>
                <w:tab w:val="left" w:pos="9180"/>
                <w:tab w:val="left" w:pos="12240"/>
              </w:tabs>
              <w:jc w:val="center"/>
              <w:rPr>
                <w:rFonts w:asciiTheme="minorHAnsi" w:hAnsiTheme="minorHAnsi"/>
                <w:b/>
                <w:bCs/>
                <w:sz w:val="32"/>
                <w:szCs w:val="32"/>
              </w:rPr>
            </w:pPr>
            <w:r>
              <w:rPr>
                <w:rFonts w:asciiTheme="minorHAnsi" w:hAnsiTheme="minorHAnsi"/>
                <w:b/>
                <w:bCs/>
                <w:sz w:val="32"/>
                <w:szCs w:val="32"/>
              </w:rPr>
              <w:t>2018 m.</w:t>
            </w:r>
          </w:p>
        </w:tc>
        <w:tc>
          <w:tcPr>
            <w:tcW w:w="1418" w:type="dxa"/>
            <w:tcBorders>
              <w:top w:val="nil"/>
              <w:left w:val="single" w:sz="18" w:space="0" w:color="FFFFFF"/>
              <w:bottom w:val="single" w:sz="18" w:space="0" w:color="FFFFFF"/>
              <w:right w:val="single" w:sz="18" w:space="0" w:color="FFFFFF"/>
            </w:tcBorders>
            <w:shd w:val="pct20" w:color="000000" w:fill="FFFFFF"/>
          </w:tcPr>
          <w:p w:rsidR="00782B7F" w:rsidRDefault="00782B7F" w:rsidP="00FB4D4B">
            <w:pPr>
              <w:tabs>
                <w:tab w:val="left" w:pos="9180"/>
                <w:tab w:val="left" w:pos="12240"/>
              </w:tabs>
              <w:jc w:val="center"/>
              <w:rPr>
                <w:rFonts w:asciiTheme="minorHAnsi" w:hAnsiTheme="minorHAnsi"/>
                <w:b/>
                <w:bCs/>
                <w:sz w:val="32"/>
                <w:szCs w:val="32"/>
              </w:rPr>
            </w:pPr>
            <w:r>
              <w:rPr>
                <w:rFonts w:asciiTheme="minorHAnsi" w:hAnsiTheme="minorHAnsi"/>
                <w:b/>
                <w:bCs/>
                <w:sz w:val="32"/>
                <w:szCs w:val="32"/>
              </w:rPr>
              <w:t>2019 m.</w:t>
            </w:r>
          </w:p>
        </w:tc>
        <w:tc>
          <w:tcPr>
            <w:tcW w:w="1418" w:type="dxa"/>
            <w:tcBorders>
              <w:top w:val="nil"/>
              <w:left w:val="single" w:sz="18" w:space="0" w:color="FFFFFF"/>
              <w:bottom w:val="single" w:sz="18" w:space="0" w:color="FFFFFF"/>
              <w:right w:val="nil"/>
            </w:tcBorders>
            <w:shd w:val="pct20" w:color="000000" w:fill="FFFFFF"/>
            <w:hideMark/>
          </w:tcPr>
          <w:p w:rsidR="00782B7F" w:rsidRDefault="00782B7F">
            <w:pPr>
              <w:tabs>
                <w:tab w:val="left" w:pos="9180"/>
                <w:tab w:val="left" w:pos="12240"/>
              </w:tabs>
              <w:jc w:val="center"/>
              <w:rPr>
                <w:rFonts w:asciiTheme="minorHAnsi" w:hAnsiTheme="minorHAnsi"/>
                <w:b/>
                <w:bCs/>
                <w:sz w:val="32"/>
                <w:szCs w:val="32"/>
              </w:rPr>
            </w:pPr>
            <w:r>
              <w:rPr>
                <w:rFonts w:asciiTheme="minorHAnsi" w:hAnsiTheme="minorHAnsi"/>
                <w:b/>
                <w:bCs/>
                <w:sz w:val="32"/>
                <w:szCs w:val="32"/>
              </w:rPr>
              <w:t>20</w:t>
            </w:r>
            <w:r>
              <w:rPr>
                <w:rFonts w:asciiTheme="minorHAnsi" w:hAnsiTheme="minorHAnsi"/>
                <w:b/>
                <w:bCs/>
                <w:sz w:val="32"/>
                <w:szCs w:val="32"/>
                <w:lang w:val="en-US"/>
              </w:rPr>
              <w:t>20</w:t>
            </w:r>
            <w:r>
              <w:rPr>
                <w:rFonts w:asciiTheme="minorHAnsi" w:hAnsiTheme="minorHAnsi"/>
                <w:b/>
                <w:bCs/>
                <w:sz w:val="32"/>
                <w:szCs w:val="32"/>
              </w:rPr>
              <w:t xml:space="preserve"> m.</w:t>
            </w:r>
          </w:p>
        </w:tc>
      </w:tr>
      <w:tr w:rsidR="00782B7F" w:rsidTr="00F6719A">
        <w:trPr>
          <w:trHeight w:val="272"/>
        </w:trPr>
        <w:tc>
          <w:tcPr>
            <w:tcW w:w="3085" w:type="dxa"/>
            <w:tcBorders>
              <w:top w:val="single" w:sz="18" w:space="0" w:color="FFFFFF"/>
              <w:left w:val="nil"/>
              <w:bottom w:val="single" w:sz="18" w:space="0" w:color="FFFFFF"/>
              <w:right w:val="single" w:sz="18" w:space="0" w:color="FFFFFF"/>
            </w:tcBorders>
            <w:shd w:val="pct5" w:color="000000" w:fill="FFFFFF"/>
            <w:hideMark/>
          </w:tcPr>
          <w:p w:rsidR="00782B7F" w:rsidRPr="00116396" w:rsidRDefault="00782B7F" w:rsidP="00365966">
            <w:pPr>
              <w:tabs>
                <w:tab w:val="left" w:pos="9180"/>
                <w:tab w:val="left" w:pos="12240"/>
              </w:tabs>
              <w:rPr>
                <w:rFonts w:asciiTheme="minorHAnsi" w:hAnsiTheme="minorHAnsi"/>
                <w:b/>
                <w:sz w:val="32"/>
                <w:szCs w:val="32"/>
                <w:lang w:val="lt-LT"/>
              </w:rPr>
            </w:pPr>
            <w:r>
              <w:rPr>
                <w:rFonts w:asciiTheme="minorHAnsi" w:hAnsiTheme="minorHAnsi"/>
                <w:b/>
                <w:sz w:val="32"/>
                <w:szCs w:val="32"/>
              </w:rPr>
              <w:t xml:space="preserve">DARBO UŽMOKESTIS </w:t>
            </w:r>
          </w:p>
        </w:tc>
        <w:tc>
          <w:tcPr>
            <w:tcW w:w="1417"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782B7F" w:rsidRDefault="00782B7F" w:rsidP="00E24FC7">
            <w:pPr>
              <w:tabs>
                <w:tab w:val="left" w:pos="9180"/>
                <w:tab w:val="left" w:pos="12240"/>
              </w:tabs>
              <w:jc w:val="center"/>
              <w:rPr>
                <w:rFonts w:asciiTheme="minorHAnsi" w:hAnsiTheme="minorHAnsi"/>
                <w:sz w:val="28"/>
                <w:szCs w:val="28"/>
              </w:rPr>
            </w:pPr>
            <w:r>
              <w:rPr>
                <w:rFonts w:asciiTheme="minorHAnsi" w:hAnsiTheme="minorHAnsi"/>
                <w:sz w:val="28"/>
                <w:szCs w:val="28"/>
              </w:rPr>
              <w:t>51,7</w:t>
            </w:r>
          </w:p>
        </w:tc>
        <w:tc>
          <w:tcPr>
            <w:tcW w:w="1418"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782B7F" w:rsidRDefault="00782B7F" w:rsidP="00E24FC7">
            <w:pPr>
              <w:tabs>
                <w:tab w:val="left" w:pos="9180"/>
                <w:tab w:val="left" w:pos="12240"/>
              </w:tabs>
              <w:jc w:val="center"/>
              <w:rPr>
                <w:rFonts w:asciiTheme="minorHAnsi" w:hAnsiTheme="minorHAnsi"/>
                <w:sz w:val="28"/>
                <w:szCs w:val="28"/>
              </w:rPr>
            </w:pPr>
            <w:r>
              <w:rPr>
                <w:rFonts w:asciiTheme="minorHAnsi" w:hAnsiTheme="minorHAnsi"/>
                <w:sz w:val="28"/>
                <w:szCs w:val="28"/>
              </w:rPr>
              <w:t>54,8</w:t>
            </w:r>
          </w:p>
        </w:tc>
        <w:tc>
          <w:tcPr>
            <w:tcW w:w="1417"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782B7F" w:rsidRDefault="00782B7F" w:rsidP="00E24FC7">
            <w:pPr>
              <w:tabs>
                <w:tab w:val="left" w:pos="9180"/>
                <w:tab w:val="left" w:pos="12240"/>
              </w:tabs>
              <w:jc w:val="center"/>
              <w:rPr>
                <w:rFonts w:asciiTheme="minorHAnsi" w:hAnsiTheme="minorHAnsi"/>
                <w:sz w:val="28"/>
                <w:szCs w:val="28"/>
              </w:rPr>
            </w:pPr>
            <w:r>
              <w:rPr>
                <w:rFonts w:asciiTheme="minorHAnsi" w:hAnsiTheme="minorHAnsi"/>
                <w:sz w:val="28"/>
                <w:szCs w:val="28"/>
              </w:rPr>
              <w:t>55,3</w:t>
            </w:r>
          </w:p>
        </w:tc>
        <w:tc>
          <w:tcPr>
            <w:tcW w:w="1418" w:type="dxa"/>
            <w:tcBorders>
              <w:top w:val="single" w:sz="18" w:space="0" w:color="FFFFFF"/>
              <w:left w:val="single" w:sz="18" w:space="0" w:color="FFFFFF"/>
              <w:bottom w:val="single" w:sz="18" w:space="0" w:color="FFFFFF"/>
              <w:right w:val="single" w:sz="18" w:space="0" w:color="FFFFFF"/>
            </w:tcBorders>
            <w:shd w:val="pct5" w:color="000000" w:fill="FFFFFF"/>
            <w:vAlign w:val="center"/>
          </w:tcPr>
          <w:p w:rsidR="00782B7F" w:rsidRDefault="00782B7F" w:rsidP="00FB4D4B">
            <w:pPr>
              <w:tabs>
                <w:tab w:val="left" w:pos="9180"/>
                <w:tab w:val="left" w:pos="12240"/>
              </w:tabs>
              <w:jc w:val="center"/>
              <w:rPr>
                <w:rFonts w:asciiTheme="minorHAnsi" w:hAnsiTheme="minorHAnsi"/>
                <w:sz w:val="28"/>
                <w:szCs w:val="28"/>
              </w:rPr>
            </w:pPr>
            <w:r>
              <w:rPr>
                <w:rFonts w:asciiTheme="minorHAnsi" w:hAnsiTheme="minorHAnsi"/>
                <w:sz w:val="28"/>
                <w:szCs w:val="28"/>
              </w:rPr>
              <w:t>75</w:t>
            </w:r>
          </w:p>
        </w:tc>
        <w:tc>
          <w:tcPr>
            <w:tcW w:w="1418" w:type="dxa"/>
            <w:tcBorders>
              <w:top w:val="single" w:sz="18" w:space="0" w:color="FFFFFF"/>
              <w:left w:val="single" w:sz="18" w:space="0" w:color="FFFFFF"/>
              <w:bottom w:val="single" w:sz="18" w:space="0" w:color="FFFFFF"/>
              <w:right w:val="nil"/>
            </w:tcBorders>
            <w:shd w:val="pct5" w:color="000000" w:fill="FFFFFF"/>
            <w:vAlign w:val="center"/>
            <w:hideMark/>
          </w:tcPr>
          <w:p w:rsidR="00782B7F" w:rsidRPr="00782B7F" w:rsidRDefault="00782B7F" w:rsidP="00E24FC7">
            <w:pPr>
              <w:tabs>
                <w:tab w:val="left" w:pos="9180"/>
                <w:tab w:val="left" w:pos="12240"/>
              </w:tabs>
              <w:jc w:val="center"/>
              <w:rPr>
                <w:rFonts w:asciiTheme="minorHAnsi" w:hAnsiTheme="minorHAnsi"/>
                <w:sz w:val="28"/>
                <w:szCs w:val="28"/>
                <w:lang w:val="en-US"/>
              </w:rPr>
            </w:pPr>
            <w:r>
              <w:rPr>
                <w:rFonts w:asciiTheme="minorHAnsi" w:hAnsiTheme="minorHAnsi"/>
                <w:sz w:val="28"/>
                <w:szCs w:val="28"/>
              </w:rPr>
              <w:t>7</w:t>
            </w:r>
            <w:r>
              <w:rPr>
                <w:rFonts w:asciiTheme="minorHAnsi" w:hAnsiTheme="minorHAnsi"/>
                <w:sz w:val="28"/>
                <w:szCs w:val="28"/>
                <w:lang w:val="en-US"/>
              </w:rPr>
              <w:t>7,3</w:t>
            </w:r>
          </w:p>
        </w:tc>
      </w:tr>
      <w:tr w:rsidR="00782B7F" w:rsidTr="00F6719A">
        <w:trPr>
          <w:trHeight w:val="272"/>
        </w:trPr>
        <w:tc>
          <w:tcPr>
            <w:tcW w:w="3085" w:type="dxa"/>
            <w:tcBorders>
              <w:top w:val="single" w:sz="18" w:space="0" w:color="FFFFFF"/>
              <w:left w:val="nil"/>
              <w:bottom w:val="single" w:sz="18" w:space="0" w:color="FFFFFF"/>
              <w:right w:val="single" w:sz="18" w:space="0" w:color="FFFFFF"/>
            </w:tcBorders>
            <w:shd w:val="pct5" w:color="000000" w:fill="FFFFFF"/>
            <w:hideMark/>
          </w:tcPr>
          <w:p w:rsidR="00782B7F" w:rsidRDefault="00782B7F">
            <w:pPr>
              <w:tabs>
                <w:tab w:val="left" w:pos="9180"/>
                <w:tab w:val="left" w:pos="12240"/>
              </w:tabs>
              <w:rPr>
                <w:rFonts w:asciiTheme="minorHAnsi" w:hAnsiTheme="minorHAnsi"/>
                <w:b/>
                <w:sz w:val="32"/>
                <w:szCs w:val="32"/>
              </w:rPr>
            </w:pPr>
            <w:r>
              <w:rPr>
                <w:rFonts w:asciiTheme="minorHAnsi" w:hAnsiTheme="minorHAnsi"/>
                <w:b/>
                <w:sz w:val="32"/>
                <w:szCs w:val="32"/>
              </w:rPr>
              <w:t>KITOS IŠLAIDOS</w:t>
            </w:r>
          </w:p>
        </w:tc>
        <w:tc>
          <w:tcPr>
            <w:tcW w:w="1417"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782B7F" w:rsidRDefault="00782B7F" w:rsidP="00E24FC7">
            <w:pPr>
              <w:tabs>
                <w:tab w:val="left" w:pos="9180"/>
                <w:tab w:val="left" w:pos="12240"/>
              </w:tabs>
              <w:jc w:val="center"/>
              <w:rPr>
                <w:rFonts w:asciiTheme="minorHAnsi" w:hAnsiTheme="minorHAnsi"/>
                <w:sz w:val="28"/>
                <w:szCs w:val="28"/>
              </w:rPr>
            </w:pPr>
            <w:r>
              <w:rPr>
                <w:rFonts w:asciiTheme="minorHAnsi" w:hAnsiTheme="minorHAnsi"/>
                <w:sz w:val="28"/>
                <w:szCs w:val="28"/>
              </w:rPr>
              <w:t>32,3</w:t>
            </w:r>
          </w:p>
        </w:tc>
        <w:tc>
          <w:tcPr>
            <w:tcW w:w="1418"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782B7F" w:rsidRDefault="00782B7F" w:rsidP="00E24FC7">
            <w:pPr>
              <w:tabs>
                <w:tab w:val="left" w:pos="9180"/>
                <w:tab w:val="left" w:pos="12240"/>
              </w:tabs>
              <w:jc w:val="center"/>
              <w:rPr>
                <w:rFonts w:asciiTheme="minorHAnsi" w:hAnsiTheme="minorHAnsi"/>
                <w:sz w:val="28"/>
                <w:szCs w:val="28"/>
              </w:rPr>
            </w:pPr>
            <w:r>
              <w:rPr>
                <w:rFonts w:asciiTheme="minorHAnsi" w:hAnsiTheme="minorHAnsi"/>
                <w:sz w:val="28"/>
                <w:szCs w:val="28"/>
              </w:rPr>
              <w:t>28,1</w:t>
            </w:r>
          </w:p>
        </w:tc>
        <w:tc>
          <w:tcPr>
            <w:tcW w:w="1417"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782B7F" w:rsidRDefault="00782B7F" w:rsidP="00E24FC7">
            <w:pPr>
              <w:tabs>
                <w:tab w:val="left" w:pos="9180"/>
                <w:tab w:val="left" w:pos="12240"/>
              </w:tabs>
              <w:jc w:val="center"/>
              <w:rPr>
                <w:rFonts w:asciiTheme="minorHAnsi" w:hAnsiTheme="minorHAnsi"/>
                <w:sz w:val="28"/>
                <w:szCs w:val="28"/>
              </w:rPr>
            </w:pPr>
            <w:r>
              <w:rPr>
                <w:rFonts w:asciiTheme="minorHAnsi" w:hAnsiTheme="minorHAnsi"/>
                <w:sz w:val="28"/>
                <w:szCs w:val="28"/>
              </w:rPr>
              <w:t>27,4</w:t>
            </w:r>
          </w:p>
        </w:tc>
        <w:tc>
          <w:tcPr>
            <w:tcW w:w="1418" w:type="dxa"/>
            <w:tcBorders>
              <w:top w:val="single" w:sz="18" w:space="0" w:color="FFFFFF"/>
              <w:left w:val="single" w:sz="18" w:space="0" w:color="FFFFFF"/>
              <w:bottom w:val="single" w:sz="18" w:space="0" w:color="FFFFFF"/>
              <w:right w:val="single" w:sz="18" w:space="0" w:color="FFFFFF"/>
            </w:tcBorders>
            <w:shd w:val="pct5" w:color="000000" w:fill="FFFFFF"/>
            <w:vAlign w:val="center"/>
          </w:tcPr>
          <w:p w:rsidR="00782B7F" w:rsidRDefault="00782B7F" w:rsidP="00FB4D4B">
            <w:pPr>
              <w:tabs>
                <w:tab w:val="left" w:pos="9180"/>
                <w:tab w:val="left" w:pos="12240"/>
              </w:tabs>
              <w:jc w:val="center"/>
              <w:rPr>
                <w:rFonts w:asciiTheme="minorHAnsi" w:hAnsiTheme="minorHAnsi"/>
                <w:sz w:val="28"/>
                <w:szCs w:val="28"/>
              </w:rPr>
            </w:pPr>
            <w:r>
              <w:rPr>
                <w:rFonts w:asciiTheme="minorHAnsi" w:hAnsiTheme="minorHAnsi"/>
                <w:sz w:val="28"/>
                <w:szCs w:val="28"/>
              </w:rPr>
              <w:t>25</w:t>
            </w:r>
          </w:p>
        </w:tc>
        <w:tc>
          <w:tcPr>
            <w:tcW w:w="1418" w:type="dxa"/>
            <w:tcBorders>
              <w:top w:val="single" w:sz="18" w:space="0" w:color="FFFFFF"/>
              <w:left w:val="single" w:sz="18" w:space="0" w:color="FFFFFF"/>
              <w:bottom w:val="single" w:sz="18" w:space="0" w:color="FFFFFF"/>
              <w:right w:val="nil"/>
            </w:tcBorders>
            <w:shd w:val="pct5" w:color="000000" w:fill="FFFFFF"/>
            <w:vAlign w:val="center"/>
            <w:hideMark/>
          </w:tcPr>
          <w:p w:rsidR="00782B7F" w:rsidRPr="00782B7F" w:rsidRDefault="00782B7F" w:rsidP="00E24FC7">
            <w:pPr>
              <w:tabs>
                <w:tab w:val="left" w:pos="9180"/>
                <w:tab w:val="left" w:pos="12240"/>
              </w:tabs>
              <w:jc w:val="center"/>
              <w:rPr>
                <w:rFonts w:asciiTheme="minorHAnsi" w:hAnsiTheme="minorHAnsi"/>
                <w:sz w:val="28"/>
                <w:szCs w:val="28"/>
                <w:lang w:val="en-US"/>
              </w:rPr>
            </w:pPr>
            <w:r>
              <w:rPr>
                <w:rFonts w:asciiTheme="minorHAnsi" w:hAnsiTheme="minorHAnsi"/>
                <w:sz w:val="28"/>
                <w:szCs w:val="28"/>
              </w:rPr>
              <w:t>2</w:t>
            </w:r>
            <w:r>
              <w:rPr>
                <w:rFonts w:asciiTheme="minorHAnsi" w:hAnsiTheme="minorHAnsi"/>
                <w:sz w:val="28"/>
                <w:szCs w:val="28"/>
                <w:lang w:val="en-US"/>
              </w:rPr>
              <w:t>2,7</w:t>
            </w:r>
          </w:p>
        </w:tc>
      </w:tr>
      <w:tr w:rsidR="00782B7F" w:rsidTr="00F6719A">
        <w:trPr>
          <w:trHeight w:val="273"/>
        </w:trPr>
        <w:tc>
          <w:tcPr>
            <w:tcW w:w="3085" w:type="dxa"/>
            <w:tcBorders>
              <w:top w:val="single" w:sz="18" w:space="0" w:color="FFFFFF"/>
              <w:left w:val="nil"/>
              <w:bottom w:val="single" w:sz="18" w:space="0" w:color="FFFFFF"/>
              <w:right w:val="single" w:sz="18" w:space="0" w:color="FFFFFF"/>
            </w:tcBorders>
            <w:shd w:val="pct20" w:color="000000" w:fill="FFFFFF"/>
          </w:tcPr>
          <w:p w:rsidR="00782B7F" w:rsidRDefault="00782B7F">
            <w:pPr>
              <w:tabs>
                <w:tab w:val="left" w:pos="9180"/>
                <w:tab w:val="left" w:pos="12240"/>
              </w:tabs>
              <w:rPr>
                <w:rFonts w:asciiTheme="minorHAnsi" w:hAnsiTheme="minorHAnsi"/>
                <w:sz w:val="32"/>
                <w:szCs w:val="32"/>
              </w:rPr>
            </w:pPr>
            <w:r>
              <w:rPr>
                <w:rFonts w:asciiTheme="minorHAnsi" w:hAnsiTheme="minorHAnsi"/>
                <w:sz w:val="32"/>
                <w:szCs w:val="32"/>
              </w:rPr>
              <w:t>Medicinos reikmenys</w:t>
            </w:r>
          </w:p>
        </w:tc>
        <w:tc>
          <w:tcPr>
            <w:tcW w:w="1417" w:type="dxa"/>
            <w:tcBorders>
              <w:top w:val="single" w:sz="18" w:space="0" w:color="FFFFFF"/>
              <w:left w:val="single" w:sz="18" w:space="0" w:color="FFFFFF"/>
              <w:bottom w:val="single" w:sz="18" w:space="0" w:color="FFFFFF"/>
              <w:right w:val="single" w:sz="18" w:space="0" w:color="FFFFFF"/>
            </w:tcBorders>
            <w:shd w:val="pct20" w:color="000000" w:fill="FFFFFF"/>
            <w:vAlign w:val="center"/>
            <w:hideMark/>
          </w:tcPr>
          <w:p w:rsidR="00782B7F" w:rsidRDefault="00782B7F" w:rsidP="00E24FC7">
            <w:pPr>
              <w:tabs>
                <w:tab w:val="left" w:pos="9180"/>
                <w:tab w:val="left" w:pos="12240"/>
              </w:tabs>
              <w:jc w:val="center"/>
              <w:rPr>
                <w:rFonts w:asciiTheme="minorHAnsi" w:hAnsiTheme="minorHAnsi"/>
                <w:sz w:val="28"/>
                <w:szCs w:val="28"/>
              </w:rPr>
            </w:pPr>
            <w:r>
              <w:rPr>
                <w:rFonts w:asciiTheme="minorHAnsi" w:hAnsiTheme="minorHAnsi"/>
                <w:sz w:val="28"/>
                <w:szCs w:val="28"/>
              </w:rPr>
              <w:t>11,4</w:t>
            </w:r>
          </w:p>
        </w:tc>
        <w:tc>
          <w:tcPr>
            <w:tcW w:w="1418" w:type="dxa"/>
            <w:tcBorders>
              <w:top w:val="single" w:sz="18" w:space="0" w:color="FFFFFF"/>
              <w:left w:val="single" w:sz="18" w:space="0" w:color="FFFFFF"/>
              <w:bottom w:val="single" w:sz="18" w:space="0" w:color="FFFFFF"/>
              <w:right w:val="single" w:sz="18" w:space="0" w:color="FFFFFF"/>
            </w:tcBorders>
            <w:shd w:val="pct20" w:color="000000" w:fill="FFFFFF"/>
            <w:vAlign w:val="center"/>
            <w:hideMark/>
          </w:tcPr>
          <w:p w:rsidR="00782B7F" w:rsidRDefault="00782B7F" w:rsidP="00E24FC7">
            <w:pPr>
              <w:tabs>
                <w:tab w:val="left" w:pos="9180"/>
                <w:tab w:val="left" w:pos="12240"/>
              </w:tabs>
              <w:jc w:val="center"/>
              <w:rPr>
                <w:rFonts w:asciiTheme="minorHAnsi" w:hAnsiTheme="minorHAnsi"/>
                <w:sz w:val="28"/>
                <w:szCs w:val="28"/>
              </w:rPr>
            </w:pPr>
            <w:r>
              <w:rPr>
                <w:rFonts w:asciiTheme="minorHAnsi" w:hAnsiTheme="minorHAnsi"/>
                <w:sz w:val="28"/>
                <w:szCs w:val="28"/>
              </w:rPr>
              <w:t>10,2</w:t>
            </w:r>
          </w:p>
        </w:tc>
        <w:tc>
          <w:tcPr>
            <w:tcW w:w="1417" w:type="dxa"/>
            <w:tcBorders>
              <w:top w:val="single" w:sz="18" w:space="0" w:color="FFFFFF"/>
              <w:left w:val="single" w:sz="18" w:space="0" w:color="FFFFFF"/>
              <w:bottom w:val="single" w:sz="18" w:space="0" w:color="FFFFFF"/>
              <w:right w:val="single" w:sz="18" w:space="0" w:color="FFFFFF"/>
            </w:tcBorders>
            <w:shd w:val="pct20" w:color="000000" w:fill="FFFFFF"/>
            <w:vAlign w:val="center"/>
            <w:hideMark/>
          </w:tcPr>
          <w:p w:rsidR="00782B7F" w:rsidRDefault="00782B7F" w:rsidP="00E24FC7">
            <w:pPr>
              <w:tabs>
                <w:tab w:val="left" w:pos="9180"/>
                <w:tab w:val="left" w:pos="12240"/>
              </w:tabs>
              <w:jc w:val="center"/>
              <w:rPr>
                <w:rFonts w:asciiTheme="minorHAnsi" w:hAnsiTheme="minorHAnsi"/>
                <w:sz w:val="28"/>
                <w:szCs w:val="28"/>
              </w:rPr>
            </w:pPr>
            <w:r>
              <w:rPr>
                <w:rFonts w:asciiTheme="minorHAnsi" w:hAnsiTheme="minorHAnsi"/>
                <w:sz w:val="28"/>
                <w:szCs w:val="28"/>
              </w:rPr>
              <w:t>8,7</w:t>
            </w:r>
          </w:p>
        </w:tc>
        <w:tc>
          <w:tcPr>
            <w:tcW w:w="1418" w:type="dxa"/>
            <w:tcBorders>
              <w:top w:val="single" w:sz="18" w:space="0" w:color="FFFFFF"/>
              <w:left w:val="single" w:sz="18" w:space="0" w:color="FFFFFF"/>
              <w:bottom w:val="single" w:sz="18" w:space="0" w:color="FFFFFF"/>
              <w:right w:val="single" w:sz="18" w:space="0" w:color="FFFFFF"/>
            </w:tcBorders>
            <w:shd w:val="pct20" w:color="000000" w:fill="FFFFFF"/>
            <w:vAlign w:val="center"/>
          </w:tcPr>
          <w:p w:rsidR="00782B7F" w:rsidRDefault="00782B7F" w:rsidP="00FB4D4B">
            <w:pPr>
              <w:tabs>
                <w:tab w:val="left" w:pos="9180"/>
                <w:tab w:val="left" w:pos="12240"/>
              </w:tabs>
              <w:jc w:val="center"/>
              <w:rPr>
                <w:rFonts w:asciiTheme="minorHAnsi" w:hAnsiTheme="minorHAnsi"/>
                <w:sz w:val="28"/>
                <w:szCs w:val="28"/>
              </w:rPr>
            </w:pPr>
            <w:r>
              <w:rPr>
                <w:rFonts w:asciiTheme="minorHAnsi" w:hAnsiTheme="minorHAnsi"/>
                <w:sz w:val="28"/>
                <w:szCs w:val="28"/>
              </w:rPr>
              <w:t>8</w:t>
            </w:r>
          </w:p>
        </w:tc>
        <w:tc>
          <w:tcPr>
            <w:tcW w:w="1418" w:type="dxa"/>
            <w:tcBorders>
              <w:top w:val="single" w:sz="18" w:space="0" w:color="FFFFFF"/>
              <w:left w:val="single" w:sz="18" w:space="0" w:color="FFFFFF"/>
              <w:bottom w:val="single" w:sz="18" w:space="0" w:color="FFFFFF"/>
              <w:right w:val="nil"/>
            </w:tcBorders>
            <w:shd w:val="pct20" w:color="000000" w:fill="FFFFFF"/>
            <w:vAlign w:val="center"/>
            <w:hideMark/>
          </w:tcPr>
          <w:p w:rsidR="00782B7F" w:rsidRPr="00782B7F" w:rsidRDefault="00782B7F" w:rsidP="00E24FC7">
            <w:pPr>
              <w:tabs>
                <w:tab w:val="left" w:pos="9180"/>
                <w:tab w:val="left" w:pos="12240"/>
              </w:tabs>
              <w:jc w:val="center"/>
              <w:rPr>
                <w:rFonts w:asciiTheme="minorHAnsi" w:hAnsiTheme="minorHAnsi"/>
                <w:sz w:val="28"/>
                <w:szCs w:val="28"/>
                <w:lang w:val="en-US"/>
              </w:rPr>
            </w:pPr>
            <w:r>
              <w:rPr>
                <w:rFonts w:asciiTheme="minorHAnsi" w:hAnsiTheme="minorHAnsi"/>
                <w:sz w:val="28"/>
                <w:szCs w:val="28"/>
                <w:lang w:val="en-US"/>
              </w:rPr>
              <w:t>7,1</w:t>
            </w:r>
          </w:p>
        </w:tc>
      </w:tr>
      <w:tr w:rsidR="00782B7F" w:rsidTr="00F6719A">
        <w:trPr>
          <w:trHeight w:val="272"/>
        </w:trPr>
        <w:tc>
          <w:tcPr>
            <w:tcW w:w="3085" w:type="dxa"/>
            <w:tcBorders>
              <w:top w:val="single" w:sz="18" w:space="0" w:color="FFFFFF"/>
              <w:left w:val="nil"/>
              <w:bottom w:val="single" w:sz="18" w:space="0" w:color="FFFFFF"/>
              <w:right w:val="single" w:sz="18" w:space="0" w:color="FFFFFF"/>
            </w:tcBorders>
            <w:shd w:val="pct5" w:color="000000" w:fill="FFFFFF"/>
          </w:tcPr>
          <w:p w:rsidR="00782B7F" w:rsidRDefault="00782B7F">
            <w:pPr>
              <w:tabs>
                <w:tab w:val="left" w:pos="9180"/>
                <w:tab w:val="left" w:pos="12240"/>
              </w:tabs>
              <w:rPr>
                <w:rFonts w:asciiTheme="minorHAnsi" w:hAnsiTheme="minorHAnsi"/>
                <w:sz w:val="32"/>
                <w:szCs w:val="32"/>
              </w:rPr>
            </w:pPr>
            <w:r>
              <w:rPr>
                <w:rFonts w:asciiTheme="minorHAnsi" w:hAnsiTheme="minorHAnsi"/>
                <w:sz w:val="32"/>
                <w:szCs w:val="32"/>
              </w:rPr>
              <w:t xml:space="preserve">Mityba </w:t>
            </w:r>
          </w:p>
        </w:tc>
        <w:tc>
          <w:tcPr>
            <w:tcW w:w="1417"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782B7F" w:rsidRDefault="00782B7F" w:rsidP="00E24FC7">
            <w:pPr>
              <w:tabs>
                <w:tab w:val="left" w:pos="9180"/>
                <w:tab w:val="left" w:pos="12240"/>
              </w:tabs>
              <w:jc w:val="center"/>
              <w:rPr>
                <w:rFonts w:asciiTheme="minorHAnsi" w:hAnsiTheme="minorHAnsi"/>
                <w:sz w:val="28"/>
                <w:szCs w:val="28"/>
              </w:rPr>
            </w:pPr>
            <w:r>
              <w:rPr>
                <w:rFonts w:asciiTheme="minorHAnsi" w:hAnsiTheme="minorHAnsi"/>
                <w:sz w:val="28"/>
                <w:szCs w:val="28"/>
              </w:rPr>
              <w:t>1,8</w:t>
            </w:r>
          </w:p>
        </w:tc>
        <w:tc>
          <w:tcPr>
            <w:tcW w:w="1418"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782B7F" w:rsidRDefault="00782B7F" w:rsidP="00E24FC7">
            <w:pPr>
              <w:tabs>
                <w:tab w:val="left" w:pos="9180"/>
                <w:tab w:val="left" w:pos="12240"/>
              </w:tabs>
              <w:jc w:val="center"/>
              <w:rPr>
                <w:rFonts w:asciiTheme="minorHAnsi" w:hAnsiTheme="minorHAnsi"/>
                <w:sz w:val="28"/>
                <w:szCs w:val="28"/>
              </w:rPr>
            </w:pPr>
            <w:r>
              <w:rPr>
                <w:rFonts w:asciiTheme="minorHAnsi" w:hAnsiTheme="minorHAnsi"/>
                <w:sz w:val="28"/>
                <w:szCs w:val="28"/>
              </w:rPr>
              <w:t>1,7</w:t>
            </w:r>
          </w:p>
        </w:tc>
        <w:tc>
          <w:tcPr>
            <w:tcW w:w="1417"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782B7F" w:rsidRDefault="00782B7F" w:rsidP="00E24FC7">
            <w:pPr>
              <w:tabs>
                <w:tab w:val="left" w:pos="9180"/>
                <w:tab w:val="left" w:pos="12240"/>
              </w:tabs>
              <w:jc w:val="center"/>
              <w:rPr>
                <w:rFonts w:asciiTheme="minorHAnsi" w:hAnsiTheme="minorHAnsi"/>
                <w:sz w:val="28"/>
                <w:szCs w:val="28"/>
              </w:rPr>
            </w:pPr>
            <w:r>
              <w:rPr>
                <w:rFonts w:asciiTheme="minorHAnsi" w:hAnsiTheme="minorHAnsi"/>
                <w:sz w:val="28"/>
                <w:szCs w:val="28"/>
              </w:rPr>
              <w:t>1,6</w:t>
            </w:r>
          </w:p>
        </w:tc>
        <w:tc>
          <w:tcPr>
            <w:tcW w:w="1418" w:type="dxa"/>
            <w:tcBorders>
              <w:top w:val="single" w:sz="18" w:space="0" w:color="FFFFFF"/>
              <w:left w:val="single" w:sz="18" w:space="0" w:color="FFFFFF"/>
              <w:bottom w:val="single" w:sz="18" w:space="0" w:color="FFFFFF"/>
              <w:right w:val="single" w:sz="18" w:space="0" w:color="FFFFFF"/>
            </w:tcBorders>
            <w:shd w:val="pct5" w:color="000000" w:fill="FFFFFF"/>
            <w:vAlign w:val="center"/>
          </w:tcPr>
          <w:p w:rsidR="00782B7F" w:rsidRDefault="00782B7F" w:rsidP="00FB4D4B">
            <w:pPr>
              <w:tabs>
                <w:tab w:val="left" w:pos="9180"/>
                <w:tab w:val="left" w:pos="12240"/>
              </w:tabs>
              <w:jc w:val="center"/>
              <w:rPr>
                <w:rFonts w:asciiTheme="minorHAnsi" w:hAnsiTheme="minorHAnsi"/>
                <w:sz w:val="28"/>
                <w:szCs w:val="28"/>
              </w:rPr>
            </w:pPr>
            <w:r>
              <w:rPr>
                <w:rFonts w:asciiTheme="minorHAnsi" w:hAnsiTheme="minorHAnsi"/>
                <w:sz w:val="28"/>
                <w:szCs w:val="28"/>
              </w:rPr>
              <w:t>1,4</w:t>
            </w:r>
          </w:p>
        </w:tc>
        <w:tc>
          <w:tcPr>
            <w:tcW w:w="1418" w:type="dxa"/>
            <w:tcBorders>
              <w:top w:val="single" w:sz="18" w:space="0" w:color="FFFFFF"/>
              <w:left w:val="single" w:sz="18" w:space="0" w:color="FFFFFF"/>
              <w:bottom w:val="single" w:sz="18" w:space="0" w:color="FFFFFF"/>
              <w:right w:val="nil"/>
            </w:tcBorders>
            <w:shd w:val="pct5" w:color="000000" w:fill="FFFFFF"/>
            <w:vAlign w:val="center"/>
            <w:hideMark/>
          </w:tcPr>
          <w:p w:rsidR="00782B7F" w:rsidRPr="00782B7F" w:rsidRDefault="00782B7F" w:rsidP="00E24FC7">
            <w:pPr>
              <w:tabs>
                <w:tab w:val="left" w:pos="9180"/>
                <w:tab w:val="left" w:pos="12240"/>
              </w:tabs>
              <w:jc w:val="center"/>
              <w:rPr>
                <w:rFonts w:asciiTheme="minorHAnsi" w:hAnsiTheme="minorHAnsi"/>
                <w:sz w:val="28"/>
                <w:szCs w:val="28"/>
                <w:lang w:val="en-US"/>
              </w:rPr>
            </w:pPr>
            <w:r>
              <w:rPr>
                <w:rFonts w:asciiTheme="minorHAnsi" w:hAnsiTheme="minorHAnsi"/>
                <w:sz w:val="28"/>
                <w:szCs w:val="28"/>
              </w:rPr>
              <w:t>1</w:t>
            </w:r>
          </w:p>
        </w:tc>
      </w:tr>
      <w:tr w:rsidR="00782B7F" w:rsidTr="00F6719A">
        <w:trPr>
          <w:trHeight w:val="272"/>
        </w:trPr>
        <w:tc>
          <w:tcPr>
            <w:tcW w:w="3085" w:type="dxa"/>
            <w:tcBorders>
              <w:top w:val="single" w:sz="18" w:space="0" w:color="FFFFFF"/>
              <w:left w:val="nil"/>
              <w:bottom w:val="single" w:sz="18" w:space="0" w:color="FFFFFF"/>
              <w:right w:val="single" w:sz="18" w:space="0" w:color="FFFFFF"/>
            </w:tcBorders>
            <w:shd w:val="pct20" w:color="000000" w:fill="FFFFFF"/>
          </w:tcPr>
          <w:p w:rsidR="00782B7F" w:rsidRDefault="00782B7F">
            <w:pPr>
              <w:tabs>
                <w:tab w:val="left" w:pos="9180"/>
                <w:tab w:val="left" w:pos="12240"/>
              </w:tabs>
              <w:rPr>
                <w:rFonts w:asciiTheme="minorHAnsi" w:hAnsiTheme="minorHAnsi"/>
                <w:sz w:val="32"/>
                <w:szCs w:val="32"/>
              </w:rPr>
            </w:pPr>
            <w:r>
              <w:rPr>
                <w:rFonts w:asciiTheme="minorHAnsi" w:hAnsiTheme="minorHAnsi"/>
                <w:sz w:val="32"/>
                <w:szCs w:val="32"/>
              </w:rPr>
              <w:t xml:space="preserve">Apšildymas </w:t>
            </w:r>
          </w:p>
        </w:tc>
        <w:tc>
          <w:tcPr>
            <w:tcW w:w="1417" w:type="dxa"/>
            <w:tcBorders>
              <w:top w:val="single" w:sz="18" w:space="0" w:color="FFFFFF"/>
              <w:left w:val="single" w:sz="18" w:space="0" w:color="FFFFFF"/>
              <w:bottom w:val="single" w:sz="18" w:space="0" w:color="FFFFFF"/>
              <w:right w:val="single" w:sz="18" w:space="0" w:color="FFFFFF"/>
            </w:tcBorders>
            <w:shd w:val="pct20" w:color="000000" w:fill="FFFFFF"/>
            <w:vAlign w:val="center"/>
            <w:hideMark/>
          </w:tcPr>
          <w:p w:rsidR="00782B7F" w:rsidRDefault="00782B7F" w:rsidP="00E24FC7">
            <w:pPr>
              <w:tabs>
                <w:tab w:val="left" w:pos="9180"/>
                <w:tab w:val="left" w:pos="12240"/>
              </w:tabs>
              <w:jc w:val="center"/>
              <w:rPr>
                <w:rFonts w:asciiTheme="minorHAnsi" w:hAnsiTheme="minorHAnsi"/>
                <w:sz w:val="28"/>
                <w:szCs w:val="28"/>
              </w:rPr>
            </w:pPr>
            <w:r>
              <w:rPr>
                <w:rFonts w:asciiTheme="minorHAnsi" w:hAnsiTheme="minorHAnsi"/>
                <w:sz w:val="28"/>
                <w:szCs w:val="28"/>
              </w:rPr>
              <w:t>2,1</w:t>
            </w:r>
          </w:p>
        </w:tc>
        <w:tc>
          <w:tcPr>
            <w:tcW w:w="1418" w:type="dxa"/>
            <w:tcBorders>
              <w:top w:val="single" w:sz="18" w:space="0" w:color="FFFFFF"/>
              <w:left w:val="single" w:sz="18" w:space="0" w:color="FFFFFF"/>
              <w:bottom w:val="single" w:sz="18" w:space="0" w:color="FFFFFF"/>
              <w:right w:val="single" w:sz="18" w:space="0" w:color="FFFFFF"/>
            </w:tcBorders>
            <w:shd w:val="pct20" w:color="000000" w:fill="FFFFFF"/>
            <w:vAlign w:val="center"/>
            <w:hideMark/>
          </w:tcPr>
          <w:p w:rsidR="00782B7F" w:rsidRDefault="00782B7F" w:rsidP="00E24FC7">
            <w:pPr>
              <w:tabs>
                <w:tab w:val="left" w:pos="9180"/>
                <w:tab w:val="left" w:pos="12240"/>
              </w:tabs>
              <w:jc w:val="center"/>
              <w:rPr>
                <w:rFonts w:asciiTheme="minorHAnsi" w:hAnsiTheme="minorHAnsi"/>
                <w:sz w:val="28"/>
                <w:szCs w:val="28"/>
              </w:rPr>
            </w:pPr>
            <w:r>
              <w:rPr>
                <w:rFonts w:asciiTheme="minorHAnsi" w:hAnsiTheme="minorHAnsi"/>
                <w:sz w:val="28"/>
                <w:szCs w:val="28"/>
              </w:rPr>
              <w:t>2,0</w:t>
            </w:r>
          </w:p>
        </w:tc>
        <w:tc>
          <w:tcPr>
            <w:tcW w:w="1417" w:type="dxa"/>
            <w:tcBorders>
              <w:top w:val="single" w:sz="18" w:space="0" w:color="FFFFFF"/>
              <w:left w:val="single" w:sz="18" w:space="0" w:color="FFFFFF"/>
              <w:bottom w:val="single" w:sz="18" w:space="0" w:color="FFFFFF"/>
              <w:right w:val="single" w:sz="18" w:space="0" w:color="FFFFFF"/>
            </w:tcBorders>
            <w:shd w:val="pct20" w:color="000000" w:fill="FFFFFF"/>
            <w:vAlign w:val="center"/>
            <w:hideMark/>
          </w:tcPr>
          <w:p w:rsidR="00782B7F" w:rsidRDefault="00782B7F" w:rsidP="00E24FC7">
            <w:pPr>
              <w:tabs>
                <w:tab w:val="left" w:pos="9180"/>
                <w:tab w:val="left" w:pos="12240"/>
              </w:tabs>
              <w:jc w:val="center"/>
              <w:rPr>
                <w:rFonts w:asciiTheme="minorHAnsi" w:hAnsiTheme="minorHAnsi"/>
                <w:sz w:val="28"/>
                <w:szCs w:val="28"/>
              </w:rPr>
            </w:pPr>
            <w:r>
              <w:rPr>
                <w:rFonts w:asciiTheme="minorHAnsi" w:hAnsiTheme="minorHAnsi"/>
                <w:sz w:val="28"/>
                <w:szCs w:val="28"/>
              </w:rPr>
              <w:t>1,8</w:t>
            </w:r>
          </w:p>
        </w:tc>
        <w:tc>
          <w:tcPr>
            <w:tcW w:w="1418" w:type="dxa"/>
            <w:tcBorders>
              <w:top w:val="single" w:sz="18" w:space="0" w:color="FFFFFF"/>
              <w:left w:val="single" w:sz="18" w:space="0" w:color="FFFFFF"/>
              <w:bottom w:val="single" w:sz="18" w:space="0" w:color="FFFFFF"/>
              <w:right w:val="single" w:sz="18" w:space="0" w:color="FFFFFF"/>
            </w:tcBorders>
            <w:shd w:val="pct20" w:color="000000" w:fill="FFFFFF"/>
            <w:vAlign w:val="center"/>
          </w:tcPr>
          <w:p w:rsidR="00782B7F" w:rsidRDefault="00782B7F" w:rsidP="00FB4D4B">
            <w:pPr>
              <w:tabs>
                <w:tab w:val="left" w:pos="9180"/>
                <w:tab w:val="left" w:pos="12240"/>
              </w:tabs>
              <w:jc w:val="center"/>
              <w:rPr>
                <w:rFonts w:asciiTheme="minorHAnsi" w:hAnsiTheme="minorHAnsi"/>
                <w:sz w:val="28"/>
                <w:szCs w:val="28"/>
              </w:rPr>
            </w:pPr>
            <w:r>
              <w:rPr>
                <w:rFonts w:asciiTheme="minorHAnsi" w:hAnsiTheme="minorHAnsi"/>
                <w:sz w:val="28"/>
                <w:szCs w:val="28"/>
              </w:rPr>
              <w:t>1,5</w:t>
            </w:r>
          </w:p>
        </w:tc>
        <w:tc>
          <w:tcPr>
            <w:tcW w:w="1418" w:type="dxa"/>
            <w:tcBorders>
              <w:top w:val="single" w:sz="18" w:space="0" w:color="FFFFFF"/>
              <w:left w:val="single" w:sz="18" w:space="0" w:color="FFFFFF"/>
              <w:bottom w:val="single" w:sz="18" w:space="0" w:color="FFFFFF"/>
              <w:right w:val="nil"/>
            </w:tcBorders>
            <w:shd w:val="pct20" w:color="000000" w:fill="FFFFFF"/>
            <w:vAlign w:val="center"/>
            <w:hideMark/>
          </w:tcPr>
          <w:p w:rsidR="00782B7F" w:rsidRPr="00782B7F" w:rsidRDefault="00782B7F" w:rsidP="00E24FC7">
            <w:pPr>
              <w:tabs>
                <w:tab w:val="left" w:pos="9180"/>
                <w:tab w:val="left" w:pos="12240"/>
              </w:tabs>
              <w:jc w:val="center"/>
              <w:rPr>
                <w:rFonts w:asciiTheme="minorHAnsi" w:hAnsiTheme="minorHAnsi"/>
                <w:sz w:val="28"/>
                <w:szCs w:val="28"/>
                <w:lang w:val="en-US"/>
              </w:rPr>
            </w:pPr>
            <w:r>
              <w:rPr>
                <w:rFonts w:asciiTheme="minorHAnsi" w:hAnsiTheme="minorHAnsi"/>
                <w:sz w:val="28"/>
                <w:szCs w:val="28"/>
              </w:rPr>
              <w:t>1,</w:t>
            </w:r>
            <w:r>
              <w:rPr>
                <w:rFonts w:asciiTheme="minorHAnsi" w:hAnsiTheme="minorHAnsi"/>
                <w:sz w:val="28"/>
                <w:szCs w:val="28"/>
                <w:lang w:val="en-US"/>
              </w:rPr>
              <w:t>3</w:t>
            </w:r>
          </w:p>
        </w:tc>
      </w:tr>
      <w:tr w:rsidR="00782B7F" w:rsidTr="00F6719A">
        <w:trPr>
          <w:trHeight w:val="273"/>
        </w:trPr>
        <w:tc>
          <w:tcPr>
            <w:tcW w:w="3085" w:type="dxa"/>
            <w:tcBorders>
              <w:top w:val="single" w:sz="18" w:space="0" w:color="FFFFFF"/>
              <w:left w:val="nil"/>
              <w:bottom w:val="single" w:sz="18" w:space="0" w:color="FFFFFF"/>
              <w:right w:val="single" w:sz="18" w:space="0" w:color="FFFFFF"/>
            </w:tcBorders>
            <w:shd w:val="pct5" w:color="000000" w:fill="FFFFFF"/>
          </w:tcPr>
          <w:p w:rsidR="00782B7F" w:rsidRDefault="00782B7F">
            <w:pPr>
              <w:tabs>
                <w:tab w:val="left" w:pos="9180"/>
                <w:tab w:val="left" w:pos="12240"/>
              </w:tabs>
              <w:rPr>
                <w:rFonts w:asciiTheme="minorHAnsi" w:hAnsiTheme="minorHAnsi"/>
                <w:sz w:val="32"/>
                <w:szCs w:val="32"/>
              </w:rPr>
            </w:pPr>
            <w:r>
              <w:rPr>
                <w:rFonts w:asciiTheme="minorHAnsi" w:hAnsiTheme="minorHAnsi"/>
                <w:sz w:val="32"/>
                <w:szCs w:val="32"/>
              </w:rPr>
              <w:t xml:space="preserve">Elektra </w:t>
            </w:r>
          </w:p>
        </w:tc>
        <w:tc>
          <w:tcPr>
            <w:tcW w:w="1417"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782B7F" w:rsidRDefault="00782B7F" w:rsidP="00E24FC7">
            <w:pPr>
              <w:tabs>
                <w:tab w:val="left" w:pos="9180"/>
                <w:tab w:val="left" w:pos="12240"/>
              </w:tabs>
              <w:jc w:val="center"/>
              <w:rPr>
                <w:rFonts w:asciiTheme="minorHAnsi" w:hAnsiTheme="minorHAnsi"/>
                <w:sz w:val="28"/>
                <w:szCs w:val="28"/>
              </w:rPr>
            </w:pPr>
            <w:r>
              <w:rPr>
                <w:rFonts w:asciiTheme="minorHAnsi" w:hAnsiTheme="minorHAnsi"/>
                <w:sz w:val="28"/>
                <w:szCs w:val="28"/>
              </w:rPr>
              <w:t>1,1</w:t>
            </w:r>
          </w:p>
        </w:tc>
        <w:tc>
          <w:tcPr>
            <w:tcW w:w="1418"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782B7F" w:rsidRDefault="00782B7F" w:rsidP="00E24FC7">
            <w:pPr>
              <w:tabs>
                <w:tab w:val="left" w:pos="9180"/>
                <w:tab w:val="left" w:pos="12240"/>
              </w:tabs>
              <w:jc w:val="center"/>
              <w:rPr>
                <w:rFonts w:asciiTheme="minorHAnsi" w:hAnsiTheme="minorHAnsi"/>
                <w:sz w:val="28"/>
                <w:szCs w:val="28"/>
              </w:rPr>
            </w:pPr>
            <w:r>
              <w:rPr>
                <w:rFonts w:asciiTheme="minorHAnsi" w:hAnsiTheme="minorHAnsi"/>
                <w:sz w:val="28"/>
                <w:szCs w:val="28"/>
              </w:rPr>
              <w:t>1,1</w:t>
            </w:r>
          </w:p>
        </w:tc>
        <w:tc>
          <w:tcPr>
            <w:tcW w:w="1417"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782B7F" w:rsidRDefault="00782B7F" w:rsidP="003809ED">
            <w:pPr>
              <w:tabs>
                <w:tab w:val="left" w:pos="9180"/>
                <w:tab w:val="left" w:pos="12240"/>
              </w:tabs>
              <w:jc w:val="center"/>
              <w:rPr>
                <w:rFonts w:asciiTheme="minorHAnsi" w:hAnsiTheme="minorHAnsi"/>
                <w:sz w:val="28"/>
                <w:szCs w:val="28"/>
              </w:rPr>
            </w:pPr>
            <w:r>
              <w:rPr>
                <w:rFonts w:asciiTheme="minorHAnsi" w:hAnsiTheme="minorHAnsi"/>
                <w:sz w:val="28"/>
                <w:szCs w:val="28"/>
              </w:rPr>
              <w:t>1</w:t>
            </w:r>
          </w:p>
        </w:tc>
        <w:tc>
          <w:tcPr>
            <w:tcW w:w="1418" w:type="dxa"/>
            <w:tcBorders>
              <w:top w:val="single" w:sz="18" w:space="0" w:color="FFFFFF"/>
              <w:left w:val="single" w:sz="18" w:space="0" w:color="FFFFFF"/>
              <w:bottom w:val="single" w:sz="18" w:space="0" w:color="FFFFFF"/>
              <w:right w:val="single" w:sz="18" w:space="0" w:color="FFFFFF"/>
            </w:tcBorders>
            <w:shd w:val="pct5" w:color="000000" w:fill="FFFFFF"/>
            <w:vAlign w:val="center"/>
          </w:tcPr>
          <w:p w:rsidR="00782B7F" w:rsidRDefault="00782B7F" w:rsidP="00FB4D4B">
            <w:pPr>
              <w:tabs>
                <w:tab w:val="left" w:pos="9180"/>
                <w:tab w:val="left" w:pos="12240"/>
              </w:tabs>
              <w:jc w:val="center"/>
              <w:rPr>
                <w:rFonts w:asciiTheme="minorHAnsi" w:hAnsiTheme="minorHAnsi"/>
                <w:sz w:val="28"/>
                <w:szCs w:val="28"/>
              </w:rPr>
            </w:pPr>
            <w:r>
              <w:rPr>
                <w:rFonts w:asciiTheme="minorHAnsi" w:hAnsiTheme="minorHAnsi"/>
                <w:sz w:val="28"/>
                <w:szCs w:val="28"/>
              </w:rPr>
              <w:t>0,9</w:t>
            </w:r>
          </w:p>
        </w:tc>
        <w:tc>
          <w:tcPr>
            <w:tcW w:w="1418" w:type="dxa"/>
            <w:tcBorders>
              <w:top w:val="single" w:sz="18" w:space="0" w:color="FFFFFF"/>
              <w:left w:val="single" w:sz="18" w:space="0" w:color="FFFFFF"/>
              <w:bottom w:val="single" w:sz="18" w:space="0" w:color="FFFFFF"/>
              <w:right w:val="nil"/>
            </w:tcBorders>
            <w:shd w:val="pct5" w:color="000000" w:fill="FFFFFF"/>
            <w:vAlign w:val="center"/>
            <w:hideMark/>
          </w:tcPr>
          <w:p w:rsidR="00782B7F" w:rsidRPr="00782B7F" w:rsidRDefault="00782B7F" w:rsidP="00E24FC7">
            <w:pPr>
              <w:tabs>
                <w:tab w:val="left" w:pos="9180"/>
                <w:tab w:val="left" w:pos="12240"/>
              </w:tabs>
              <w:jc w:val="center"/>
              <w:rPr>
                <w:rFonts w:asciiTheme="minorHAnsi" w:hAnsiTheme="minorHAnsi"/>
                <w:sz w:val="28"/>
                <w:szCs w:val="28"/>
                <w:lang w:val="en-US"/>
              </w:rPr>
            </w:pPr>
            <w:r>
              <w:rPr>
                <w:rFonts w:asciiTheme="minorHAnsi" w:hAnsiTheme="minorHAnsi"/>
                <w:sz w:val="28"/>
                <w:szCs w:val="28"/>
              </w:rPr>
              <w:t>0,</w:t>
            </w:r>
            <w:r>
              <w:rPr>
                <w:rFonts w:asciiTheme="minorHAnsi" w:hAnsiTheme="minorHAnsi"/>
                <w:sz w:val="28"/>
                <w:szCs w:val="28"/>
                <w:lang w:val="en-US"/>
              </w:rPr>
              <w:t>8</w:t>
            </w:r>
          </w:p>
        </w:tc>
      </w:tr>
      <w:bookmarkEnd w:id="1"/>
      <w:tr w:rsidR="00782B7F" w:rsidTr="00F6719A">
        <w:trPr>
          <w:trHeight w:val="273"/>
        </w:trPr>
        <w:tc>
          <w:tcPr>
            <w:tcW w:w="3085" w:type="dxa"/>
            <w:tcBorders>
              <w:top w:val="single" w:sz="18" w:space="0" w:color="FFFFFF"/>
              <w:left w:val="nil"/>
              <w:bottom w:val="nil"/>
              <w:right w:val="single" w:sz="18" w:space="0" w:color="FFFFFF"/>
            </w:tcBorders>
            <w:shd w:val="pct20" w:color="000000" w:fill="FFFFFF"/>
          </w:tcPr>
          <w:p w:rsidR="00782B7F" w:rsidRDefault="00782B7F">
            <w:pPr>
              <w:tabs>
                <w:tab w:val="left" w:pos="9180"/>
                <w:tab w:val="left" w:pos="12240"/>
              </w:tabs>
              <w:rPr>
                <w:rFonts w:asciiTheme="minorHAnsi" w:hAnsiTheme="minorHAnsi"/>
                <w:sz w:val="32"/>
                <w:szCs w:val="32"/>
              </w:rPr>
            </w:pPr>
            <w:r>
              <w:rPr>
                <w:rFonts w:asciiTheme="minorHAnsi" w:hAnsiTheme="minorHAnsi"/>
                <w:sz w:val="32"/>
                <w:szCs w:val="32"/>
              </w:rPr>
              <w:t>Kitos prekės ir patarnavimai</w:t>
            </w:r>
          </w:p>
        </w:tc>
        <w:tc>
          <w:tcPr>
            <w:tcW w:w="1417" w:type="dxa"/>
            <w:tcBorders>
              <w:top w:val="single" w:sz="18" w:space="0" w:color="FFFFFF"/>
              <w:left w:val="single" w:sz="18" w:space="0" w:color="FFFFFF"/>
              <w:bottom w:val="nil"/>
              <w:right w:val="single" w:sz="18" w:space="0" w:color="FFFFFF"/>
            </w:tcBorders>
            <w:shd w:val="pct20" w:color="000000" w:fill="FFFFFF"/>
            <w:vAlign w:val="center"/>
            <w:hideMark/>
          </w:tcPr>
          <w:p w:rsidR="00782B7F" w:rsidRDefault="00782B7F" w:rsidP="00E24FC7">
            <w:pPr>
              <w:tabs>
                <w:tab w:val="left" w:pos="9180"/>
                <w:tab w:val="left" w:pos="12240"/>
              </w:tabs>
              <w:jc w:val="center"/>
              <w:rPr>
                <w:rFonts w:asciiTheme="minorHAnsi" w:hAnsiTheme="minorHAnsi"/>
                <w:sz w:val="28"/>
                <w:szCs w:val="28"/>
              </w:rPr>
            </w:pPr>
            <w:r>
              <w:rPr>
                <w:rFonts w:asciiTheme="minorHAnsi" w:hAnsiTheme="minorHAnsi"/>
                <w:sz w:val="28"/>
                <w:szCs w:val="28"/>
              </w:rPr>
              <w:t>15,9</w:t>
            </w:r>
          </w:p>
        </w:tc>
        <w:tc>
          <w:tcPr>
            <w:tcW w:w="1418" w:type="dxa"/>
            <w:tcBorders>
              <w:top w:val="single" w:sz="18" w:space="0" w:color="FFFFFF"/>
              <w:left w:val="single" w:sz="18" w:space="0" w:color="FFFFFF"/>
              <w:bottom w:val="nil"/>
              <w:right w:val="single" w:sz="18" w:space="0" w:color="FFFFFF"/>
            </w:tcBorders>
            <w:shd w:val="pct20" w:color="000000" w:fill="FFFFFF"/>
            <w:vAlign w:val="center"/>
            <w:hideMark/>
          </w:tcPr>
          <w:p w:rsidR="00782B7F" w:rsidRDefault="00782B7F" w:rsidP="00E24FC7">
            <w:pPr>
              <w:tabs>
                <w:tab w:val="left" w:pos="9180"/>
                <w:tab w:val="left" w:pos="12240"/>
              </w:tabs>
              <w:jc w:val="center"/>
              <w:rPr>
                <w:rFonts w:asciiTheme="minorHAnsi" w:hAnsiTheme="minorHAnsi"/>
                <w:sz w:val="28"/>
                <w:szCs w:val="28"/>
              </w:rPr>
            </w:pPr>
            <w:r>
              <w:rPr>
                <w:rFonts w:asciiTheme="minorHAnsi" w:hAnsiTheme="minorHAnsi"/>
                <w:sz w:val="28"/>
                <w:szCs w:val="28"/>
              </w:rPr>
              <w:t>13,1</w:t>
            </w:r>
          </w:p>
        </w:tc>
        <w:tc>
          <w:tcPr>
            <w:tcW w:w="1417" w:type="dxa"/>
            <w:tcBorders>
              <w:top w:val="single" w:sz="18" w:space="0" w:color="FFFFFF"/>
              <w:left w:val="single" w:sz="18" w:space="0" w:color="FFFFFF"/>
              <w:bottom w:val="nil"/>
              <w:right w:val="single" w:sz="18" w:space="0" w:color="FFFFFF"/>
            </w:tcBorders>
            <w:shd w:val="pct20" w:color="000000" w:fill="FFFFFF"/>
            <w:vAlign w:val="center"/>
            <w:hideMark/>
          </w:tcPr>
          <w:p w:rsidR="00782B7F" w:rsidRDefault="00782B7F" w:rsidP="00E24FC7">
            <w:pPr>
              <w:tabs>
                <w:tab w:val="left" w:pos="9180"/>
                <w:tab w:val="left" w:pos="12240"/>
              </w:tabs>
              <w:jc w:val="center"/>
              <w:rPr>
                <w:rFonts w:asciiTheme="minorHAnsi" w:hAnsiTheme="minorHAnsi"/>
                <w:sz w:val="28"/>
                <w:szCs w:val="28"/>
              </w:rPr>
            </w:pPr>
            <w:r>
              <w:rPr>
                <w:rFonts w:asciiTheme="minorHAnsi" w:hAnsiTheme="minorHAnsi"/>
                <w:sz w:val="28"/>
                <w:szCs w:val="28"/>
              </w:rPr>
              <w:t>14,3</w:t>
            </w:r>
          </w:p>
        </w:tc>
        <w:tc>
          <w:tcPr>
            <w:tcW w:w="1418" w:type="dxa"/>
            <w:tcBorders>
              <w:top w:val="single" w:sz="18" w:space="0" w:color="FFFFFF"/>
              <w:left w:val="single" w:sz="18" w:space="0" w:color="FFFFFF"/>
              <w:bottom w:val="nil"/>
              <w:right w:val="single" w:sz="18" w:space="0" w:color="FFFFFF"/>
            </w:tcBorders>
            <w:shd w:val="pct20" w:color="000000" w:fill="FFFFFF"/>
            <w:vAlign w:val="center"/>
          </w:tcPr>
          <w:p w:rsidR="00782B7F" w:rsidRDefault="00782B7F" w:rsidP="00FB4D4B">
            <w:pPr>
              <w:tabs>
                <w:tab w:val="left" w:pos="9180"/>
                <w:tab w:val="left" w:pos="12240"/>
              </w:tabs>
              <w:jc w:val="center"/>
              <w:rPr>
                <w:rFonts w:asciiTheme="minorHAnsi" w:hAnsiTheme="minorHAnsi"/>
                <w:sz w:val="28"/>
                <w:szCs w:val="28"/>
              </w:rPr>
            </w:pPr>
            <w:r>
              <w:rPr>
                <w:rFonts w:asciiTheme="minorHAnsi" w:hAnsiTheme="minorHAnsi"/>
                <w:sz w:val="28"/>
                <w:szCs w:val="28"/>
              </w:rPr>
              <w:t>13,2</w:t>
            </w:r>
          </w:p>
        </w:tc>
        <w:tc>
          <w:tcPr>
            <w:tcW w:w="1418" w:type="dxa"/>
            <w:tcBorders>
              <w:top w:val="single" w:sz="18" w:space="0" w:color="FFFFFF"/>
              <w:left w:val="single" w:sz="18" w:space="0" w:color="FFFFFF"/>
              <w:bottom w:val="nil"/>
              <w:right w:val="nil"/>
            </w:tcBorders>
            <w:shd w:val="pct20" w:color="000000" w:fill="FFFFFF"/>
            <w:vAlign w:val="center"/>
            <w:hideMark/>
          </w:tcPr>
          <w:p w:rsidR="00782B7F" w:rsidRPr="00782B7F" w:rsidRDefault="00782B7F" w:rsidP="00E24FC7">
            <w:pPr>
              <w:tabs>
                <w:tab w:val="left" w:pos="9180"/>
                <w:tab w:val="left" w:pos="12240"/>
              </w:tabs>
              <w:jc w:val="center"/>
              <w:rPr>
                <w:rFonts w:asciiTheme="minorHAnsi" w:hAnsiTheme="minorHAnsi"/>
                <w:sz w:val="28"/>
                <w:szCs w:val="28"/>
                <w:lang w:val="en-US"/>
              </w:rPr>
            </w:pPr>
            <w:r>
              <w:rPr>
                <w:rFonts w:asciiTheme="minorHAnsi" w:hAnsiTheme="minorHAnsi"/>
                <w:sz w:val="28"/>
                <w:szCs w:val="28"/>
              </w:rPr>
              <w:t>1</w:t>
            </w:r>
            <w:r>
              <w:rPr>
                <w:rFonts w:asciiTheme="minorHAnsi" w:hAnsiTheme="minorHAnsi"/>
                <w:sz w:val="28"/>
                <w:szCs w:val="28"/>
                <w:lang w:val="en-US"/>
              </w:rPr>
              <w:t>2</w:t>
            </w:r>
            <w:r>
              <w:rPr>
                <w:rFonts w:asciiTheme="minorHAnsi" w:hAnsiTheme="minorHAnsi"/>
                <w:sz w:val="28"/>
                <w:szCs w:val="28"/>
              </w:rPr>
              <w:t>,</w:t>
            </w:r>
            <w:r>
              <w:rPr>
                <w:rFonts w:asciiTheme="minorHAnsi" w:hAnsiTheme="minorHAnsi"/>
                <w:sz w:val="28"/>
                <w:szCs w:val="28"/>
                <w:lang w:val="en-US"/>
              </w:rPr>
              <w:t>5</w:t>
            </w:r>
          </w:p>
        </w:tc>
      </w:tr>
    </w:tbl>
    <w:p w:rsidR="00F8754E" w:rsidRDefault="00F8754E" w:rsidP="00F8754E">
      <w:pPr>
        <w:tabs>
          <w:tab w:val="left" w:pos="9180"/>
          <w:tab w:val="left" w:pos="12240"/>
        </w:tabs>
        <w:rPr>
          <w:rFonts w:asciiTheme="minorHAnsi" w:hAnsiTheme="minorHAnsi"/>
          <w:noProof w:val="0"/>
          <w:lang w:val="lt-LT" w:eastAsia="en-US"/>
        </w:rPr>
      </w:pPr>
    </w:p>
    <w:p w:rsidR="00A95F5B" w:rsidRDefault="00083762" w:rsidP="00A95F5B">
      <w:pPr>
        <w:tabs>
          <w:tab w:val="left" w:pos="9180"/>
          <w:tab w:val="left" w:pos="12240"/>
        </w:tabs>
        <w:rPr>
          <w:noProof w:val="0"/>
          <w:lang w:val="lt-LT" w:eastAsia="en-US"/>
        </w:rPr>
      </w:pPr>
      <w:r>
        <w:rPr>
          <w:noProof w:val="0"/>
          <w:lang w:val="lt-LT" w:eastAsia="en-US"/>
        </w:rPr>
        <w:t>* nuo 2020</w:t>
      </w:r>
      <w:r w:rsidR="00A95F5B" w:rsidRPr="00A95F5B">
        <w:rPr>
          <w:noProof w:val="0"/>
          <w:lang w:val="lt-LT" w:eastAsia="en-US"/>
        </w:rPr>
        <w:t xml:space="preserve"> metų išlaidų struktūroje darbo užmokestis pateikia</w:t>
      </w:r>
      <w:r w:rsidR="00A95F5B">
        <w:rPr>
          <w:noProof w:val="0"/>
          <w:lang w:val="lt-LT" w:eastAsia="en-US"/>
        </w:rPr>
        <w:t>mas kartu su SODROS mokesčiais.</w:t>
      </w:r>
    </w:p>
    <w:p w:rsidR="00A95F5B" w:rsidRDefault="00A95F5B" w:rsidP="00A95F5B">
      <w:pPr>
        <w:tabs>
          <w:tab w:val="left" w:pos="9180"/>
          <w:tab w:val="left" w:pos="12240"/>
        </w:tabs>
        <w:rPr>
          <w:noProof w:val="0"/>
          <w:lang w:val="lt-LT" w:eastAsia="en-US"/>
        </w:rPr>
      </w:pPr>
    </w:p>
    <w:p w:rsidR="0023353F" w:rsidRDefault="00A95F5B" w:rsidP="00E63635">
      <w:pPr>
        <w:tabs>
          <w:tab w:val="left" w:pos="9180"/>
          <w:tab w:val="left" w:pos="12240"/>
        </w:tabs>
        <w:rPr>
          <w:b/>
          <w:lang w:val="en-US"/>
        </w:rPr>
      </w:pPr>
      <w:r>
        <w:rPr>
          <w:noProof w:val="0"/>
          <w:lang w:val="lt-LT" w:eastAsia="en-US"/>
        </w:rPr>
        <w:t xml:space="preserve">        </w:t>
      </w:r>
      <w:r w:rsidR="00D35A15">
        <w:rPr>
          <w:lang w:val="lt-LT"/>
        </w:rPr>
        <w:t xml:space="preserve"> </w:t>
      </w:r>
      <w:r>
        <w:rPr>
          <w:lang w:val="lt-LT"/>
        </w:rPr>
        <w:t xml:space="preserve">Per </w:t>
      </w:r>
      <w:r w:rsidR="00286C4D">
        <w:rPr>
          <w:lang w:val="lt-LT"/>
        </w:rPr>
        <w:t>2020</w:t>
      </w:r>
      <w:r w:rsidR="0023353F">
        <w:rPr>
          <w:lang w:val="lt-LT"/>
        </w:rPr>
        <w:t xml:space="preserve"> metus ligoninė į</w:t>
      </w:r>
      <w:r w:rsidR="00FF6A20">
        <w:rPr>
          <w:lang w:val="lt-LT"/>
        </w:rPr>
        <w:t xml:space="preserve">sigijo </w:t>
      </w:r>
      <w:r w:rsidR="00286C4D">
        <w:rPr>
          <w:lang w:val="lt-LT"/>
        </w:rPr>
        <w:t>ilgalaikio turto už 161707</w:t>
      </w:r>
      <w:r w:rsidR="0023353F">
        <w:rPr>
          <w:lang w:val="lt-LT"/>
        </w:rPr>
        <w:t xml:space="preserve"> €.</w:t>
      </w:r>
    </w:p>
    <w:p w:rsidR="00A95F5B" w:rsidRPr="0070715A" w:rsidRDefault="00A95F5B" w:rsidP="004F1D78">
      <w:pPr>
        <w:rPr>
          <w:b/>
          <w:lang w:val="en-US"/>
        </w:rPr>
      </w:pPr>
    </w:p>
    <w:p w:rsidR="0023353F" w:rsidRDefault="0070715A" w:rsidP="004F1D78">
      <w:pPr>
        <w:rPr>
          <w:lang w:val="en-US"/>
        </w:rPr>
      </w:pPr>
      <w:r w:rsidRPr="0070715A">
        <w:rPr>
          <w:b/>
          <w:lang w:val="en-US"/>
        </w:rPr>
        <w:t xml:space="preserve">         V.</w:t>
      </w:r>
      <w:r>
        <w:rPr>
          <w:b/>
          <w:lang w:val="en-US"/>
        </w:rPr>
        <w:t xml:space="preserve"> </w:t>
      </w:r>
      <w:r w:rsidR="0023353F" w:rsidRPr="0070715A">
        <w:rPr>
          <w:b/>
          <w:lang w:val="en-US"/>
        </w:rPr>
        <w:t xml:space="preserve">Veiklos tobulinimo </w:t>
      </w:r>
      <w:r>
        <w:rPr>
          <w:b/>
          <w:lang w:val="en-US"/>
        </w:rPr>
        <w:t>perspektyvos.</w:t>
      </w:r>
    </w:p>
    <w:p w:rsidR="0023353F" w:rsidRDefault="0023353F" w:rsidP="004F1D78">
      <w:pPr>
        <w:rPr>
          <w:lang w:val="en-US"/>
        </w:rPr>
      </w:pPr>
    </w:p>
    <w:p w:rsidR="00DE0E4D" w:rsidRDefault="00736581" w:rsidP="00D35A15">
      <w:pPr>
        <w:ind w:left="426" w:right="-1" w:firstLine="1134"/>
        <w:jc w:val="both"/>
        <w:rPr>
          <w:lang w:val="lt-LT"/>
        </w:rPr>
      </w:pPr>
      <w:r>
        <w:rPr>
          <w:lang w:val="lt-LT"/>
        </w:rPr>
        <w:t>Nauja</w:t>
      </w:r>
      <w:r w:rsidR="00E63635">
        <w:rPr>
          <w:lang w:val="lt-LT"/>
        </w:rPr>
        <w:t>jame ataskaitiniame laikotarpyje išlieka svarbiausias uždavinys – užtikrinti ligoninės licencijoje numatytas asmens sveikatos priežiūros stacionarines ir specializuotas ambulatorines paslaugas</w:t>
      </w:r>
      <w:r w:rsidR="00BA113B">
        <w:rPr>
          <w:lang w:val="lt-LT"/>
        </w:rPr>
        <w:t xml:space="preserve"> tebesitęsiant Covid-19 pandemijai, maksimaliai greitai vakcinuoti įstaigos darbuotojus ir pasiekti</w:t>
      </w:r>
      <w:r w:rsidR="000E5B8D">
        <w:rPr>
          <w:lang w:val="lt-LT"/>
        </w:rPr>
        <w:t xml:space="preserve"> kartu </w:t>
      </w:r>
      <w:r w:rsidR="00F82F4E">
        <w:rPr>
          <w:lang w:val="lt-LT"/>
        </w:rPr>
        <w:t>su persirgusiais Covid-19 77-80</w:t>
      </w:r>
      <w:r w:rsidR="00FF0801">
        <w:rPr>
          <w:lang w:val="lt-LT"/>
        </w:rPr>
        <w:t>%</w:t>
      </w:r>
      <w:r w:rsidR="000E5B8D">
        <w:rPr>
          <w:lang w:val="lt-LT"/>
        </w:rPr>
        <w:t xml:space="preserve"> įstaigos pers</w:t>
      </w:r>
      <w:r w:rsidR="00324BE6">
        <w:rPr>
          <w:lang w:val="lt-LT"/>
        </w:rPr>
        <w:t>onalo kolektyvinį imunitetą, tai</w:t>
      </w:r>
      <w:r w:rsidR="000E5B8D">
        <w:rPr>
          <w:lang w:val="lt-LT"/>
        </w:rPr>
        <w:t xml:space="preserve"> leistų garantuoti nepertraukiamą pagalbos teikimą gyventojams.</w:t>
      </w:r>
    </w:p>
    <w:p w:rsidR="00DE0E4D" w:rsidRDefault="00B200AD" w:rsidP="00D35A15">
      <w:pPr>
        <w:ind w:left="426" w:right="-1" w:firstLine="1134"/>
        <w:jc w:val="both"/>
        <w:rPr>
          <w:lang w:val="lt-LT"/>
        </w:rPr>
      </w:pPr>
      <w:r>
        <w:rPr>
          <w:lang w:val="lt-LT"/>
        </w:rPr>
        <w:t>Aktualiu uždaviniu išlieka</w:t>
      </w:r>
      <w:r w:rsidR="00FF0801">
        <w:rPr>
          <w:lang w:val="lt-LT"/>
        </w:rPr>
        <w:t xml:space="preserve"> </w:t>
      </w:r>
      <w:r w:rsidR="00414BFC">
        <w:rPr>
          <w:lang w:val="lt-LT"/>
        </w:rPr>
        <w:t>pakankamas ligo</w:t>
      </w:r>
      <w:r w:rsidR="00F303CC">
        <w:rPr>
          <w:lang w:val="lt-LT"/>
        </w:rPr>
        <w:t>ninės aprūpinimas specialist</w:t>
      </w:r>
      <w:r>
        <w:rPr>
          <w:lang w:val="lt-LT"/>
        </w:rPr>
        <w:t>ais ir darbo užmokesčio</w:t>
      </w:r>
      <w:r w:rsidR="00F303CC">
        <w:rPr>
          <w:lang w:val="lt-LT"/>
        </w:rPr>
        <w:t xml:space="preserve"> klausimai</w:t>
      </w:r>
      <w:r w:rsidR="00985AE5">
        <w:rPr>
          <w:lang w:val="lt-LT"/>
        </w:rPr>
        <w:t>.</w:t>
      </w:r>
      <w:r w:rsidR="00DE0E4D" w:rsidRPr="00DE0E4D">
        <w:rPr>
          <w:lang w:val="lt-LT"/>
        </w:rPr>
        <w:t xml:space="preserve"> </w:t>
      </w:r>
      <w:r w:rsidR="003E580E">
        <w:rPr>
          <w:lang w:val="lt-LT"/>
        </w:rPr>
        <w:t>Per ataskaitinį laikotarpį pavyko pakviesti dirbti 4 jaunus specialistus, taip pat vieną patyrusį anesteziologą-reanimatologą, gydytoją endoskopuotoją, 2 bendrosios praktikos slaugytojas, kurios nesibaigus metams, išėjo iš darbo. Viena slaugytoja, dirbusi anksčiau ligoninėje - grįžo.</w:t>
      </w:r>
      <w:r w:rsidR="00B36C0A">
        <w:rPr>
          <w:lang w:val="lt-LT"/>
        </w:rPr>
        <w:t xml:space="preserve"> Ligoninei reikalingi:</w:t>
      </w:r>
      <w:r>
        <w:rPr>
          <w:lang w:val="lt-LT"/>
        </w:rPr>
        <w:t xml:space="preserve"> gydytojas-neurologas</w:t>
      </w:r>
      <w:r w:rsidR="00DE0E4D">
        <w:rPr>
          <w:lang w:val="lt-LT"/>
        </w:rPr>
        <w:t xml:space="preserve">, </w:t>
      </w:r>
      <w:r>
        <w:rPr>
          <w:lang w:val="lt-LT"/>
        </w:rPr>
        <w:t>kardiologas</w:t>
      </w:r>
      <w:r w:rsidR="00B36C0A">
        <w:rPr>
          <w:lang w:val="lt-LT"/>
        </w:rPr>
        <w:t xml:space="preserve">, pediatras, </w:t>
      </w:r>
      <w:r w:rsidR="00E779D5">
        <w:rPr>
          <w:lang w:val="lt-LT"/>
        </w:rPr>
        <w:t>vidaus ligų gydytojas.</w:t>
      </w:r>
    </w:p>
    <w:p w:rsidR="00414BFC" w:rsidRDefault="00414BFC" w:rsidP="00D35A15">
      <w:pPr>
        <w:ind w:left="426" w:right="-1" w:firstLine="1194"/>
        <w:jc w:val="both"/>
        <w:rPr>
          <w:lang w:val="lt-LT"/>
        </w:rPr>
      </w:pPr>
      <w:r>
        <w:rPr>
          <w:lang w:val="lt-LT"/>
        </w:rPr>
        <w:t>Prioritetu ligoninėje reikia laikyti paros chirurgijos</w:t>
      </w:r>
      <w:r w:rsidR="00B200AD">
        <w:rPr>
          <w:lang w:val="lt-LT"/>
        </w:rPr>
        <w:t xml:space="preserve"> gydymo</w:t>
      </w:r>
      <w:r>
        <w:rPr>
          <w:lang w:val="lt-LT"/>
        </w:rPr>
        <w:t xml:space="preserve"> profilį, ne</w:t>
      </w:r>
      <w:r w:rsidR="008A7FD3">
        <w:rPr>
          <w:lang w:val="lt-LT"/>
        </w:rPr>
        <w:t>s šios srities</w:t>
      </w:r>
      <w:r>
        <w:rPr>
          <w:lang w:val="lt-LT"/>
        </w:rPr>
        <w:t xml:space="preserve"> </w:t>
      </w:r>
      <w:r w:rsidR="008A7FD3">
        <w:rPr>
          <w:lang w:val="lt-LT"/>
        </w:rPr>
        <w:t>gydymo profilio</w:t>
      </w:r>
      <w:r w:rsidR="004451B3">
        <w:rPr>
          <w:lang w:val="lt-LT"/>
        </w:rPr>
        <w:t xml:space="preserve"> </w:t>
      </w:r>
      <w:r>
        <w:rPr>
          <w:lang w:val="lt-LT"/>
        </w:rPr>
        <w:t>prara</w:t>
      </w:r>
      <w:r w:rsidR="008A7FD3">
        <w:rPr>
          <w:lang w:val="lt-LT"/>
        </w:rPr>
        <w:t>dimas grėstų blogėjančia</w:t>
      </w:r>
      <w:r w:rsidR="00484663">
        <w:rPr>
          <w:lang w:val="lt-LT"/>
        </w:rPr>
        <w:t xml:space="preserve"> stacionarine</w:t>
      </w:r>
      <w:r>
        <w:rPr>
          <w:lang w:val="lt-LT"/>
        </w:rPr>
        <w:t xml:space="preserve"> medicinos pagalba rajono gyventojams bei nutolstančia specializuota medicinos pagalba nuo jų gyvenamosios vietos.</w:t>
      </w:r>
    </w:p>
    <w:p w:rsidR="00A95F5B" w:rsidRDefault="00DA7555" w:rsidP="0077643B">
      <w:pPr>
        <w:ind w:left="426" w:right="-1" w:firstLine="1194"/>
        <w:jc w:val="both"/>
        <w:rPr>
          <w:lang w:val="lt-LT"/>
        </w:rPr>
      </w:pPr>
      <w:r>
        <w:rPr>
          <w:lang w:val="lt-LT"/>
        </w:rPr>
        <w:t>Vidiniai įstai</w:t>
      </w:r>
      <w:r w:rsidR="00985AE5">
        <w:rPr>
          <w:lang w:val="lt-LT"/>
        </w:rPr>
        <w:t>gos rezervai, užtikrinant tokią</w:t>
      </w:r>
      <w:r>
        <w:rPr>
          <w:lang w:val="lt-LT"/>
        </w:rPr>
        <w:t xml:space="preserve"> kokia dabar yra paslaugų  a</w:t>
      </w:r>
      <w:r w:rsidR="00F82F4E">
        <w:rPr>
          <w:lang w:val="lt-LT"/>
        </w:rPr>
        <w:t>pimtį bei kokybę</w:t>
      </w:r>
      <w:r w:rsidR="00E779D5">
        <w:rPr>
          <w:lang w:val="lt-LT"/>
        </w:rPr>
        <w:t xml:space="preserve"> yra  panaudoti</w:t>
      </w:r>
      <w:r>
        <w:rPr>
          <w:lang w:val="lt-LT"/>
        </w:rPr>
        <w:t xml:space="preserve"> optimaliai.</w:t>
      </w:r>
    </w:p>
    <w:p w:rsidR="00AC414B" w:rsidRDefault="00AC414B" w:rsidP="0077643B">
      <w:pPr>
        <w:ind w:left="426" w:right="-1" w:firstLine="1194"/>
        <w:jc w:val="both"/>
        <w:rPr>
          <w:lang w:val="lt-LT"/>
        </w:rPr>
      </w:pPr>
    </w:p>
    <w:p w:rsidR="00D35A15" w:rsidRDefault="00D35A15" w:rsidP="00414BFC">
      <w:pPr>
        <w:ind w:left="567" w:right="-1" w:firstLine="1053"/>
        <w:jc w:val="both"/>
        <w:rPr>
          <w:lang w:val="lt-LT"/>
        </w:rPr>
      </w:pPr>
    </w:p>
    <w:p w:rsidR="001442EE" w:rsidRPr="00CE7124" w:rsidRDefault="0070715A" w:rsidP="004F1D78">
      <w:pPr>
        <w:rPr>
          <w:lang w:val="lt-LT"/>
        </w:rPr>
      </w:pPr>
      <w:r w:rsidRPr="00CE7124">
        <w:rPr>
          <w:b/>
          <w:lang w:val="lt-LT"/>
        </w:rPr>
        <w:t xml:space="preserve">        VI. </w:t>
      </w:r>
      <w:r w:rsidR="00DA7555" w:rsidRPr="00CE7124">
        <w:rPr>
          <w:b/>
          <w:lang w:val="lt-LT"/>
        </w:rPr>
        <w:t>Kita informacija</w:t>
      </w:r>
      <w:r w:rsidRPr="00CE7124">
        <w:rPr>
          <w:b/>
          <w:lang w:val="lt-LT"/>
        </w:rPr>
        <w:t>.</w:t>
      </w:r>
    </w:p>
    <w:p w:rsidR="003A2499" w:rsidRPr="00CE7124" w:rsidRDefault="003A2499" w:rsidP="004F1D78">
      <w:pPr>
        <w:rPr>
          <w:lang w:val="lt-LT"/>
        </w:rPr>
      </w:pPr>
    </w:p>
    <w:p w:rsidR="002E6D8C" w:rsidRDefault="00AC414B" w:rsidP="001442EE">
      <w:pPr>
        <w:ind w:left="426" w:right="-1" w:firstLine="567"/>
        <w:jc w:val="both"/>
        <w:rPr>
          <w:lang w:val="lt-LT"/>
        </w:rPr>
      </w:pPr>
      <w:r>
        <w:rPr>
          <w:lang w:val="lt-LT"/>
        </w:rPr>
        <w:t>Ataskaitiniais metais ligoninės vidiniame kieme buvę daug metų seni 2 pastatai (prie ligoninės pagrindinio korpuso ir sodo dalyje) nugriauti, todėl atsirado galimybė pradėti formuoti naują mašinų stovėjimo aikštelę ligoninės personalui.</w:t>
      </w:r>
      <w:r w:rsidR="001F6DF1">
        <w:rPr>
          <w:lang w:val="lt-LT"/>
        </w:rPr>
        <w:t xml:space="preserve"> Taip pat svarbu tęsti kitus infrastruktūros </w:t>
      </w:r>
      <w:r w:rsidR="001F6DF1">
        <w:rPr>
          <w:lang w:val="lt-LT"/>
        </w:rPr>
        <w:lastRenderedPageBreak/>
        <w:t>darbus nutiesiant taką nuo pandusų sistemos į mašinų stovėjimo aikšelę prie V. Kudirkos gatvės, įrengiant apšvietimą. Taip būtų pagerinta infrastruktūra neįgaliesiems, aikštelėje numatant jiems automobilių parkavimo vietas.</w:t>
      </w:r>
    </w:p>
    <w:p w:rsidR="00B522D8" w:rsidRDefault="00F303CC" w:rsidP="00CC0802">
      <w:pPr>
        <w:ind w:left="426" w:right="-1" w:firstLine="567"/>
        <w:jc w:val="both"/>
        <w:rPr>
          <w:lang w:val="lt-LT"/>
        </w:rPr>
      </w:pPr>
      <w:r>
        <w:rPr>
          <w:lang w:val="lt-LT"/>
        </w:rPr>
        <w:t>Ir ateityje i</w:t>
      </w:r>
      <w:r w:rsidR="00B522D8">
        <w:rPr>
          <w:lang w:val="lt-LT"/>
        </w:rPr>
        <w:t xml:space="preserve">šlieka svarbus steigėjo – rajono Savivaldybės Tarybos paramos ligoninei klausimas, nes </w:t>
      </w:r>
      <w:r w:rsidR="00E03FB4">
        <w:rPr>
          <w:lang w:val="lt-LT"/>
        </w:rPr>
        <w:t>per</w:t>
      </w:r>
      <w:r w:rsidR="00E419A5">
        <w:rPr>
          <w:lang w:val="lt-LT"/>
        </w:rPr>
        <w:t xml:space="preserve"> maži gydymo įkainiai ir</w:t>
      </w:r>
      <w:r w:rsidR="00B522D8">
        <w:rPr>
          <w:lang w:val="lt-LT"/>
        </w:rPr>
        <w:t xml:space="preserve"> </w:t>
      </w:r>
      <w:r w:rsidR="00E779D5">
        <w:rPr>
          <w:lang w:val="lt-LT"/>
        </w:rPr>
        <w:t xml:space="preserve">ypač </w:t>
      </w:r>
      <w:r w:rsidR="00B522D8">
        <w:rPr>
          <w:lang w:val="lt-LT"/>
        </w:rPr>
        <w:t>didėjančios sąnaudos</w:t>
      </w:r>
      <w:r w:rsidR="00E779D5">
        <w:rPr>
          <w:lang w:val="lt-LT"/>
        </w:rPr>
        <w:t xml:space="preserve"> darbo užmokesčiui</w:t>
      </w:r>
      <w:r w:rsidR="00B522D8">
        <w:rPr>
          <w:lang w:val="lt-LT"/>
        </w:rPr>
        <w:t xml:space="preserve"> gali nulemti tai, kad artimiausioje ateityje didės ligo</w:t>
      </w:r>
      <w:r w:rsidR="00E779D5">
        <w:rPr>
          <w:lang w:val="lt-LT"/>
        </w:rPr>
        <w:t>ninės technologinis atsilikimas. Nepaisant didinamo darbo užmokesčio, vis sunkiau tampa pakviesti darbui li</w:t>
      </w:r>
      <w:r w:rsidR="00FF0801">
        <w:rPr>
          <w:lang w:val="lt-LT"/>
        </w:rPr>
        <w:t>goninėje gydytojus specialistus, pradedamas jausti ir slaugytojų trūkumas, sunkiau rasti darbuotojų, aptarnaujančių sveikatos priežiūros paslaugų procesus.</w:t>
      </w:r>
      <w:r w:rsidR="00E779D5">
        <w:rPr>
          <w:lang w:val="lt-LT"/>
        </w:rPr>
        <w:t xml:space="preserve"> Viena vertus – ne visada galima pasiūlyti ko</w:t>
      </w:r>
      <w:r w:rsidR="00E419A5">
        <w:rPr>
          <w:lang w:val="lt-LT"/>
        </w:rPr>
        <w:t>nkurencingą darbo užmokestį, kit</w:t>
      </w:r>
      <w:r w:rsidR="00E779D5">
        <w:rPr>
          <w:lang w:val="lt-LT"/>
        </w:rPr>
        <w:t>a – neaiški, nenuosekliai vykdoma stacionarinių gydymo įstaigų</w:t>
      </w:r>
      <w:r w:rsidR="004815C8">
        <w:rPr>
          <w:lang w:val="lt-LT"/>
        </w:rPr>
        <w:t xml:space="preserve"> pertvarkos politika, neigiamos rajono demografinės tendencijos.</w:t>
      </w:r>
      <w:r w:rsidR="00E779D5">
        <w:rPr>
          <w:lang w:val="lt-LT"/>
        </w:rPr>
        <w:t xml:space="preserve"> Tai lemia jaunų specialistų nenorą, vengimą dirbti rajono ligoninėje.</w:t>
      </w:r>
      <w:r w:rsidR="00985AE5">
        <w:rPr>
          <w:lang w:val="lt-LT"/>
        </w:rPr>
        <w:t xml:space="preserve"> </w:t>
      </w:r>
      <w:r w:rsidR="008E1FA3">
        <w:rPr>
          <w:lang w:val="lt-LT"/>
        </w:rPr>
        <w:t>Tai gręsia</w:t>
      </w:r>
      <w:r w:rsidR="00E03FB4">
        <w:rPr>
          <w:lang w:val="lt-LT"/>
        </w:rPr>
        <w:t xml:space="preserve"> ir pagrindinių stacionaro gydymo profilių praradim</w:t>
      </w:r>
      <w:r w:rsidR="008E1FA3">
        <w:rPr>
          <w:lang w:val="lt-LT"/>
        </w:rPr>
        <w:t xml:space="preserve">u. </w:t>
      </w:r>
    </w:p>
    <w:p w:rsidR="008E1FA3" w:rsidRDefault="008E1FA3" w:rsidP="00CC0802">
      <w:pPr>
        <w:ind w:left="426" w:right="-1" w:firstLine="567"/>
        <w:jc w:val="both"/>
        <w:rPr>
          <w:lang w:val="lt-LT"/>
        </w:rPr>
      </w:pPr>
      <w:r>
        <w:rPr>
          <w:lang w:val="lt-LT"/>
        </w:rPr>
        <w:t>Specializuotų paslaugų sveikatos sistemoje centralizavimas stebimas jau eilę metų, todėl šis  faktorius kartu su neigiamais rajono demografiniais rodikliais netolimoje</w:t>
      </w:r>
      <w:r w:rsidR="00E419A5">
        <w:rPr>
          <w:lang w:val="lt-LT"/>
        </w:rPr>
        <w:t xml:space="preserve"> ateityje gali pareikalauti ir </w:t>
      </w:r>
      <w:r>
        <w:rPr>
          <w:lang w:val="lt-LT"/>
        </w:rPr>
        <w:t xml:space="preserve"> kitokio požiūrio į</w:t>
      </w:r>
      <w:r w:rsidR="00E419A5">
        <w:rPr>
          <w:lang w:val="lt-LT"/>
        </w:rPr>
        <w:t xml:space="preserve"> stacionarinę mediciną rajone, prognozuojant tam tikrus struktūrinius įstaigos pertvarkymus, nukreiptus į pagalbos teikimo prioritetus, o taip pat į sąnaudų optimizavimą.</w:t>
      </w:r>
    </w:p>
    <w:p w:rsidR="003B1B52" w:rsidRDefault="003B1B52" w:rsidP="003B1B52">
      <w:pPr>
        <w:ind w:right="-1" w:firstLine="426"/>
        <w:jc w:val="both"/>
        <w:rPr>
          <w:lang w:val="lt-LT"/>
        </w:rPr>
      </w:pPr>
    </w:p>
    <w:p w:rsidR="003B1B52" w:rsidRDefault="003B1B52" w:rsidP="003B1B52">
      <w:pPr>
        <w:ind w:right="-1" w:firstLine="426"/>
        <w:jc w:val="both"/>
        <w:rPr>
          <w:lang w:val="lt-LT"/>
        </w:rPr>
      </w:pPr>
    </w:p>
    <w:p w:rsidR="003B1B52" w:rsidRDefault="003B1B52" w:rsidP="003B1B52">
      <w:pPr>
        <w:ind w:right="-1" w:firstLine="426"/>
        <w:jc w:val="both"/>
        <w:rPr>
          <w:lang w:val="lt-LT"/>
        </w:rPr>
      </w:pPr>
    </w:p>
    <w:p w:rsidR="003B1B52" w:rsidRDefault="003B1B52" w:rsidP="003B1B52">
      <w:pPr>
        <w:ind w:right="-1" w:firstLine="426"/>
        <w:jc w:val="both"/>
        <w:rPr>
          <w:lang w:val="lt-LT"/>
        </w:rPr>
      </w:pPr>
    </w:p>
    <w:p w:rsidR="003B1B52" w:rsidRDefault="003B1B52" w:rsidP="003B1B52">
      <w:pPr>
        <w:ind w:right="-1" w:firstLine="426"/>
        <w:jc w:val="both"/>
        <w:rPr>
          <w:lang w:val="lt-LT"/>
        </w:rPr>
      </w:pPr>
    </w:p>
    <w:p w:rsidR="003B1B52" w:rsidRDefault="003B1B52" w:rsidP="003B1B52">
      <w:pPr>
        <w:ind w:right="-1" w:firstLine="426"/>
        <w:jc w:val="both"/>
        <w:rPr>
          <w:lang w:val="lt-LT"/>
        </w:rPr>
      </w:pPr>
    </w:p>
    <w:p w:rsidR="003B1B52" w:rsidRDefault="003B1B52" w:rsidP="003B1B52">
      <w:pPr>
        <w:ind w:right="-1" w:firstLine="426"/>
        <w:jc w:val="both"/>
        <w:rPr>
          <w:lang w:val="lt-LT"/>
        </w:rPr>
      </w:pPr>
      <w:r>
        <w:rPr>
          <w:lang w:val="lt-LT"/>
        </w:rPr>
        <w:t>VšĮ Šakių ligoninės</w:t>
      </w:r>
    </w:p>
    <w:p w:rsidR="003B1B52" w:rsidRDefault="003B1B52" w:rsidP="003B1B52">
      <w:pPr>
        <w:ind w:right="-1" w:firstLine="426"/>
        <w:jc w:val="both"/>
        <w:rPr>
          <w:lang w:val="lt-LT"/>
        </w:rPr>
      </w:pPr>
      <w:r>
        <w:rPr>
          <w:lang w:val="lt-LT"/>
        </w:rPr>
        <w:t>vyriausiasis gydytojas                                                                                           Algirdas Klimaitis</w:t>
      </w:r>
    </w:p>
    <w:p w:rsidR="00064DFA" w:rsidRPr="00CE7124" w:rsidRDefault="00064DFA" w:rsidP="004F1D78">
      <w:pPr>
        <w:rPr>
          <w:lang w:val="lt-LT"/>
        </w:rPr>
      </w:pPr>
    </w:p>
    <w:sectPr w:rsidR="00064DFA" w:rsidRPr="00CE7124" w:rsidSect="00964AA2">
      <w:pgSz w:w="11906" w:h="16838"/>
      <w:pgMar w:top="1701" w:right="424"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428"/>
    <w:rsid w:val="000207B2"/>
    <w:rsid w:val="0003659E"/>
    <w:rsid w:val="00036C72"/>
    <w:rsid w:val="00050B02"/>
    <w:rsid w:val="00056D22"/>
    <w:rsid w:val="00064DFA"/>
    <w:rsid w:val="00083762"/>
    <w:rsid w:val="000E5B8D"/>
    <w:rsid w:val="000F6AEF"/>
    <w:rsid w:val="00101827"/>
    <w:rsid w:val="00116396"/>
    <w:rsid w:val="0013537A"/>
    <w:rsid w:val="001442EE"/>
    <w:rsid w:val="00152752"/>
    <w:rsid w:val="00164095"/>
    <w:rsid w:val="00186EF8"/>
    <w:rsid w:val="00193FB3"/>
    <w:rsid w:val="001C775D"/>
    <w:rsid w:val="001D05BF"/>
    <w:rsid w:val="001F6DF1"/>
    <w:rsid w:val="00216F35"/>
    <w:rsid w:val="00224328"/>
    <w:rsid w:val="0023353F"/>
    <w:rsid w:val="00233FDB"/>
    <w:rsid w:val="002540F3"/>
    <w:rsid w:val="00286C4D"/>
    <w:rsid w:val="00297EE3"/>
    <w:rsid w:val="002B65F8"/>
    <w:rsid w:val="002E6D8C"/>
    <w:rsid w:val="002E7C5E"/>
    <w:rsid w:val="002F0DBB"/>
    <w:rsid w:val="0030412A"/>
    <w:rsid w:val="003215F0"/>
    <w:rsid w:val="00324BE6"/>
    <w:rsid w:val="003259AF"/>
    <w:rsid w:val="003360A0"/>
    <w:rsid w:val="003544D9"/>
    <w:rsid w:val="00355969"/>
    <w:rsid w:val="00365966"/>
    <w:rsid w:val="003809ED"/>
    <w:rsid w:val="003A2499"/>
    <w:rsid w:val="003B1B52"/>
    <w:rsid w:val="003B712A"/>
    <w:rsid w:val="003C3B56"/>
    <w:rsid w:val="003E580E"/>
    <w:rsid w:val="003F672A"/>
    <w:rsid w:val="00414BFC"/>
    <w:rsid w:val="00426906"/>
    <w:rsid w:val="00444F0C"/>
    <w:rsid w:val="004451B3"/>
    <w:rsid w:val="004815C8"/>
    <w:rsid w:val="00484663"/>
    <w:rsid w:val="00487C5C"/>
    <w:rsid w:val="00496766"/>
    <w:rsid w:val="004A79D2"/>
    <w:rsid w:val="004C10DA"/>
    <w:rsid w:val="004D2A11"/>
    <w:rsid w:val="004D3572"/>
    <w:rsid w:val="004D3C67"/>
    <w:rsid w:val="004D43B1"/>
    <w:rsid w:val="004F1D78"/>
    <w:rsid w:val="004F4C30"/>
    <w:rsid w:val="005336B0"/>
    <w:rsid w:val="00537C04"/>
    <w:rsid w:val="00577364"/>
    <w:rsid w:val="0058054C"/>
    <w:rsid w:val="005B3027"/>
    <w:rsid w:val="005C623D"/>
    <w:rsid w:val="005E4D84"/>
    <w:rsid w:val="00633359"/>
    <w:rsid w:val="0063614C"/>
    <w:rsid w:val="00651102"/>
    <w:rsid w:val="00676B34"/>
    <w:rsid w:val="0068424D"/>
    <w:rsid w:val="00691B90"/>
    <w:rsid w:val="006966AD"/>
    <w:rsid w:val="006B4EAD"/>
    <w:rsid w:val="00705221"/>
    <w:rsid w:val="0070661A"/>
    <w:rsid w:val="0070715A"/>
    <w:rsid w:val="00715ED7"/>
    <w:rsid w:val="00725A15"/>
    <w:rsid w:val="00732379"/>
    <w:rsid w:val="00736581"/>
    <w:rsid w:val="00753428"/>
    <w:rsid w:val="00763EA6"/>
    <w:rsid w:val="007705FE"/>
    <w:rsid w:val="00772F8E"/>
    <w:rsid w:val="0077643B"/>
    <w:rsid w:val="00782B7F"/>
    <w:rsid w:val="00786F1F"/>
    <w:rsid w:val="007A635D"/>
    <w:rsid w:val="007A731A"/>
    <w:rsid w:val="007D1AC6"/>
    <w:rsid w:val="007D7019"/>
    <w:rsid w:val="007E2FB2"/>
    <w:rsid w:val="00820B95"/>
    <w:rsid w:val="008548C4"/>
    <w:rsid w:val="008A7FD3"/>
    <w:rsid w:val="008D29A2"/>
    <w:rsid w:val="008D5755"/>
    <w:rsid w:val="008E1FA3"/>
    <w:rsid w:val="00914BDF"/>
    <w:rsid w:val="00930BB5"/>
    <w:rsid w:val="009436B0"/>
    <w:rsid w:val="00964AA2"/>
    <w:rsid w:val="00985AE5"/>
    <w:rsid w:val="009934A9"/>
    <w:rsid w:val="009A1625"/>
    <w:rsid w:val="009C2C2A"/>
    <w:rsid w:val="009C4C1E"/>
    <w:rsid w:val="009D7D60"/>
    <w:rsid w:val="009F6664"/>
    <w:rsid w:val="00A01BCB"/>
    <w:rsid w:val="00A232C8"/>
    <w:rsid w:val="00A35DB6"/>
    <w:rsid w:val="00A606F2"/>
    <w:rsid w:val="00A60AB7"/>
    <w:rsid w:val="00A95F5B"/>
    <w:rsid w:val="00AA02CC"/>
    <w:rsid w:val="00AA5EE9"/>
    <w:rsid w:val="00AC414B"/>
    <w:rsid w:val="00AD1E42"/>
    <w:rsid w:val="00AE3C8F"/>
    <w:rsid w:val="00B200AD"/>
    <w:rsid w:val="00B217D0"/>
    <w:rsid w:val="00B36C0A"/>
    <w:rsid w:val="00B522D8"/>
    <w:rsid w:val="00B61759"/>
    <w:rsid w:val="00B6182A"/>
    <w:rsid w:val="00B66461"/>
    <w:rsid w:val="00B67066"/>
    <w:rsid w:val="00B75B97"/>
    <w:rsid w:val="00B96168"/>
    <w:rsid w:val="00B97000"/>
    <w:rsid w:val="00BA113B"/>
    <w:rsid w:val="00BA3FAB"/>
    <w:rsid w:val="00BB2B80"/>
    <w:rsid w:val="00BD228B"/>
    <w:rsid w:val="00C21133"/>
    <w:rsid w:val="00C50594"/>
    <w:rsid w:val="00C5224D"/>
    <w:rsid w:val="00C61562"/>
    <w:rsid w:val="00CC0802"/>
    <w:rsid w:val="00CD0359"/>
    <w:rsid w:val="00CD0527"/>
    <w:rsid w:val="00CD4636"/>
    <w:rsid w:val="00CE7124"/>
    <w:rsid w:val="00D31F75"/>
    <w:rsid w:val="00D35A15"/>
    <w:rsid w:val="00D464EA"/>
    <w:rsid w:val="00D86179"/>
    <w:rsid w:val="00DA7555"/>
    <w:rsid w:val="00DB6D43"/>
    <w:rsid w:val="00DC24BB"/>
    <w:rsid w:val="00DD6D76"/>
    <w:rsid w:val="00DE0E4D"/>
    <w:rsid w:val="00DF1367"/>
    <w:rsid w:val="00DF64A7"/>
    <w:rsid w:val="00E03FB4"/>
    <w:rsid w:val="00E24FC7"/>
    <w:rsid w:val="00E419A5"/>
    <w:rsid w:val="00E63635"/>
    <w:rsid w:val="00E65C45"/>
    <w:rsid w:val="00E773D9"/>
    <w:rsid w:val="00E779D5"/>
    <w:rsid w:val="00EB0E3B"/>
    <w:rsid w:val="00EC56FB"/>
    <w:rsid w:val="00F21240"/>
    <w:rsid w:val="00F301A5"/>
    <w:rsid w:val="00F303CC"/>
    <w:rsid w:val="00F40914"/>
    <w:rsid w:val="00F424D8"/>
    <w:rsid w:val="00F5302E"/>
    <w:rsid w:val="00F55C83"/>
    <w:rsid w:val="00F76858"/>
    <w:rsid w:val="00F82F4E"/>
    <w:rsid w:val="00F8754E"/>
    <w:rsid w:val="00FA66DC"/>
    <w:rsid w:val="00FE0C20"/>
    <w:rsid w:val="00FE1FF3"/>
    <w:rsid w:val="00FF0801"/>
    <w:rsid w:val="00FF2EED"/>
    <w:rsid w:val="00FF6A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C36F9-FB30-43D8-B669-C64A4609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D0359"/>
    <w:pPr>
      <w:spacing w:after="0" w:line="240" w:lineRule="auto"/>
    </w:pPr>
    <w:rPr>
      <w:rFonts w:ascii="Times New Roman" w:eastAsia="Times New Roman" w:hAnsi="Times New Roman" w:cs="Times New Roman"/>
      <w:noProof/>
      <w:sz w:val="24"/>
      <w:szCs w:val="24"/>
      <w:lang w:val="ru-R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233FDB"/>
    <w:rPr>
      <w:color w:val="0000FF"/>
      <w:u w:val="single"/>
    </w:rPr>
  </w:style>
  <w:style w:type="table" w:styleId="Lentelstinklelis">
    <w:name w:val="Table Grid"/>
    <w:basedOn w:val="prastojilentel"/>
    <w:uiPriority w:val="39"/>
    <w:rsid w:val="00B96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1D05B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D05BF"/>
    <w:rPr>
      <w:rFonts w:ascii="Tahoma" w:eastAsia="Times New Roman" w:hAnsi="Tahoma" w:cs="Tahoma"/>
      <w:noProof/>
      <w:sz w:val="16"/>
      <w:szCs w:val="16"/>
      <w:lang w:val="ru-RU" w:eastAsia="lt-LT"/>
    </w:rPr>
  </w:style>
  <w:style w:type="paragraph" w:customStyle="1" w:styleId="Default">
    <w:name w:val="Default"/>
    <w:basedOn w:val="prastasis"/>
    <w:rsid w:val="00CE7124"/>
    <w:pPr>
      <w:autoSpaceDE w:val="0"/>
      <w:autoSpaceDN w:val="0"/>
    </w:pPr>
    <w:rPr>
      <w:rFonts w:eastAsia="Calibri"/>
      <w:noProof w:val="0"/>
      <w:color w:val="000000"/>
      <w:lang w:val="lt-LT" w:eastAsia="en-US"/>
    </w:rPr>
  </w:style>
  <w:style w:type="paragraph" w:styleId="Sraopastraipa">
    <w:name w:val="List Paragraph"/>
    <w:basedOn w:val="prastasis"/>
    <w:uiPriority w:val="34"/>
    <w:qFormat/>
    <w:rsid w:val="00AA0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925048">
      <w:bodyDiv w:val="1"/>
      <w:marLeft w:val="0"/>
      <w:marRight w:val="0"/>
      <w:marTop w:val="0"/>
      <w:marBottom w:val="0"/>
      <w:divBdr>
        <w:top w:val="none" w:sz="0" w:space="0" w:color="auto"/>
        <w:left w:val="none" w:sz="0" w:space="0" w:color="auto"/>
        <w:bottom w:val="none" w:sz="0" w:space="0" w:color="auto"/>
        <w:right w:val="none" w:sz="0" w:space="0" w:color="auto"/>
      </w:divBdr>
    </w:div>
    <w:div w:id="1512799946">
      <w:bodyDiv w:val="1"/>
      <w:marLeft w:val="0"/>
      <w:marRight w:val="0"/>
      <w:marTop w:val="0"/>
      <w:marBottom w:val="0"/>
      <w:divBdr>
        <w:top w:val="none" w:sz="0" w:space="0" w:color="auto"/>
        <w:left w:val="none" w:sz="0" w:space="0" w:color="auto"/>
        <w:bottom w:val="none" w:sz="0" w:space="0" w:color="auto"/>
        <w:right w:val="none" w:sz="0" w:space="0" w:color="auto"/>
      </w:divBdr>
    </w:div>
    <w:div w:id="2105346862">
      <w:bodyDiv w:val="1"/>
      <w:marLeft w:val="0"/>
      <w:marRight w:val="0"/>
      <w:marTop w:val="0"/>
      <w:marBottom w:val="0"/>
      <w:divBdr>
        <w:top w:val="none" w:sz="0" w:space="0" w:color="auto"/>
        <w:left w:val="none" w:sz="0" w:space="0" w:color="auto"/>
        <w:bottom w:val="none" w:sz="0" w:space="0" w:color="auto"/>
        <w:right w:val="none" w:sz="0" w:space="0" w:color="auto"/>
      </w:divBdr>
    </w:div>
    <w:div w:id="211971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hyperlink" Target="http://www.ligonine.com" TargetMode="Externa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D:\00000000000000\uzmo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2800"/>
            </a:pPr>
            <a:r>
              <a:rPr lang="en-US" sz="2800"/>
              <a:t>Vidutinis darbo užmokestis</a:t>
            </a:r>
          </a:p>
        </c:rich>
      </c:tx>
      <c:overlay val="0"/>
    </c:title>
    <c:autoTitleDeleted val="0"/>
    <c:plotArea>
      <c:layout/>
      <c:barChart>
        <c:barDir val="col"/>
        <c:grouping val="clustered"/>
        <c:varyColors val="0"/>
        <c:ser>
          <c:idx val="0"/>
          <c:order val="0"/>
          <c:tx>
            <c:strRef>
              <c:f>Sheet1!$B$3</c:f>
              <c:strCache>
                <c:ptCount val="1"/>
                <c:pt idx="0">
                  <c:v>Gydytojai</c:v>
                </c:pt>
              </c:strCache>
            </c:strRef>
          </c:tx>
          <c:spPr>
            <a:solidFill>
              <a:srgbClr val="FF0000"/>
            </a:solidFill>
          </c:spPr>
          <c:invertIfNegative val="0"/>
          <c:dPt>
            <c:idx val="0"/>
            <c:invertIfNegative val="0"/>
            <c:bubble3D val="0"/>
            <c:spPr>
              <a:solidFill>
                <a:srgbClr val="FF0000"/>
              </a:solidFill>
              <a:effectLst>
                <a:outerShdw blurRad="50800" dist="50800" dir="5400000" algn="ctr" rotWithShape="0">
                  <a:srgbClr val="FF0000"/>
                </a:outerShdw>
              </a:effectLst>
            </c:spPr>
            <c:extLst>
              <c:ext xmlns:c16="http://schemas.microsoft.com/office/drawing/2014/chart" uri="{C3380CC4-5D6E-409C-BE32-E72D297353CC}">
                <c16:uniqueId val="{00000001-8C5A-452E-BA3E-6AC0BCEE39A8}"/>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Sheet1!$A$4:$A$8</c:f>
              <c:numCache>
                <c:formatCode>General</c:formatCode>
                <c:ptCount val="5"/>
                <c:pt idx="0">
                  <c:v>2016</c:v>
                </c:pt>
                <c:pt idx="1">
                  <c:v>2017</c:v>
                </c:pt>
                <c:pt idx="2">
                  <c:v>2018</c:v>
                </c:pt>
                <c:pt idx="3">
                  <c:v>2019</c:v>
                </c:pt>
                <c:pt idx="4">
                  <c:v>2020</c:v>
                </c:pt>
              </c:numCache>
            </c:numRef>
          </c:cat>
          <c:val>
            <c:numRef>
              <c:f>Sheet1!$B$4:$B$8</c:f>
              <c:numCache>
                <c:formatCode>General</c:formatCode>
                <c:ptCount val="5"/>
                <c:pt idx="0">
                  <c:v>815</c:v>
                </c:pt>
                <c:pt idx="1">
                  <c:v>1057</c:v>
                </c:pt>
                <c:pt idx="2">
                  <c:v>1239</c:v>
                </c:pt>
                <c:pt idx="3">
                  <c:v>1894</c:v>
                </c:pt>
                <c:pt idx="4">
                  <c:v>2234</c:v>
                </c:pt>
              </c:numCache>
            </c:numRef>
          </c:val>
          <c:extLst>
            <c:ext xmlns:c16="http://schemas.microsoft.com/office/drawing/2014/chart" uri="{C3380CC4-5D6E-409C-BE32-E72D297353CC}">
              <c16:uniqueId val="{00000002-8C5A-452E-BA3E-6AC0BCEE39A8}"/>
            </c:ext>
          </c:extLst>
        </c:ser>
        <c:ser>
          <c:idx val="1"/>
          <c:order val="1"/>
          <c:tx>
            <c:strRef>
              <c:f>Sheet1!$C$3</c:f>
              <c:strCache>
                <c:ptCount val="1"/>
                <c:pt idx="0">
                  <c:v>Slaugos personalas</c:v>
                </c:pt>
              </c:strCache>
            </c:strRef>
          </c:tx>
          <c:spPr>
            <a:solidFill>
              <a:srgbClr val="0070C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Sheet1!$A$4:$A$8</c:f>
              <c:numCache>
                <c:formatCode>General</c:formatCode>
                <c:ptCount val="5"/>
                <c:pt idx="0">
                  <c:v>2016</c:v>
                </c:pt>
                <c:pt idx="1">
                  <c:v>2017</c:v>
                </c:pt>
                <c:pt idx="2">
                  <c:v>2018</c:v>
                </c:pt>
                <c:pt idx="3">
                  <c:v>2019</c:v>
                </c:pt>
                <c:pt idx="4">
                  <c:v>2020</c:v>
                </c:pt>
              </c:numCache>
            </c:numRef>
          </c:cat>
          <c:val>
            <c:numRef>
              <c:f>Sheet1!$C$4:$C$8</c:f>
              <c:numCache>
                <c:formatCode>General</c:formatCode>
                <c:ptCount val="5"/>
                <c:pt idx="0">
                  <c:v>502</c:v>
                </c:pt>
                <c:pt idx="1">
                  <c:v>521</c:v>
                </c:pt>
                <c:pt idx="2">
                  <c:v>605</c:v>
                </c:pt>
                <c:pt idx="3">
                  <c:v>915</c:v>
                </c:pt>
                <c:pt idx="4">
                  <c:v>1094</c:v>
                </c:pt>
              </c:numCache>
            </c:numRef>
          </c:val>
          <c:extLst>
            <c:ext xmlns:c16="http://schemas.microsoft.com/office/drawing/2014/chart" uri="{C3380CC4-5D6E-409C-BE32-E72D297353CC}">
              <c16:uniqueId val="{00000003-8C5A-452E-BA3E-6AC0BCEE39A8}"/>
            </c:ext>
          </c:extLst>
        </c:ser>
        <c:ser>
          <c:idx val="2"/>
          <c:order val="2"/>
          <c:tx>
            <c:strRef>
              <c:f>Sheet1!$D$3</c:f>
              <c:strCache>
                <c:ptCount val="1"/>
                <c:pt idx="0">
                  <c:v>Kitas personalas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Sheet1!$A$4:$A$8</c:f>
              <c:numCache>
                <c:formatCode>General</c:formatCode>
                <c:ptCount val="5"/>
                <c:pt idx="0">
                  <c:v>2016</c:v>
                </c:pt>
                <c:pt idx="1">
                  <c:v>2017</c:v>
                </c:pt>
                <c:pt idx="2">
                  <c:v>2018</c:v>
                </c:pt>
                <c:pt idx="3">
                  <c:v>2019</c:v>
                </c:pt>
                <c:pt idx="4">
                  <c:v>2020</c:v>
                </c:pt>
              </c:numCache>
            </c:numRef>
          </c:cat>
          <c:val>
            <c:numRef>
              <c:f>Sheet1!$D$4:$D$8</c:f>
              <c:numCache>
                <c:formatCode>General</c:formatCode>
                <c:ptCount val="5"/>
                <c:pt idx="0">
                  <c:v>398</c:v>
                </c:pt>
                <c:pt idx="1">
                  <c:v>421</c:v>
                </c:pt>
                <c:pt idx="2">
                  <c:v>492</c:v>
                </c:pt>
                <c:pt idx="3">
                  <c:v>717</c:v>
                </c:pt>
                <c:pt idx="4">
                  <c:v>875</c:v>
                </c:pt>
              </c:numCache>
            </c:numRef>
          </c:val>
          <c:extLst>
            <c:ext xmlns:c16="http://schemas.microsoft.com/office/drawing/2014/chart" uri="{C3380CC4-5D6E-409C-BE32-E72D297353CC}">
              <c16:uniqueId val="{00000004-8C5A-452E-BA3E-6AC0BCEE39A8}"/>
            </c:ext>
          </c:extLst>
        </c:ser>
        <c:dLbls>
          <c:showLegendKey val="0"/>
          <c:showVal val="0"/>
          <c:showCatName val="0"/>
          <c:showSerName val="0"/>
          <c:showPercent val="0"/>
          <c:showBubbleSize val="0"/>
        </c:dLbls>
        <c:gapWidth val="150"/>
        <c:axId val="29485696"/>
        <c:axId val="29487872"/>
      </c:barChart>
      <c:catAx>
        <c:axId val="29485696"/>
        <c:scaling>
          <c:orientation val="minMax"/>
        </c:scaling>
        <c:delete val="0"/>
        <c:axPos val="b"/>
        <c:title>
          <c:tx>
            <c:rich>
              <a:bodyPr/>
              <a:lstStyle/>
              <a:p>
                <a:pPr>
                  <a:defRPr sz="1800"/>
                </a:pPr>
                <a:r>
                  <a:rPr lang="en-US" sz="1800"/>
                  <a:t>Metai</a:t>
                </a:r>
              </a:p>
            </c:rich>
          </c:tx>
          <c:overlay val="0"/>
        </c:title>
        <c:numFmt formatCode="General" sourceLinked="1"/>
        <c:majorTickMark val="out"/>
        <c:minorTickMark val="none"/>
        <c:tickLblPos val="nextTo"/>
        <c:txPr>
          <a:bodyPr/>
          <a:lstStyle/>
          <a:p>
            <a:pPr>
              <a:defRPr sz="1200"/>
            </a:pPr>
            <a:endParaRPr lang="lt-LT"/>
          </a:p>
        </c:txPr>
        <c:crossAx val="29487872"/>
        <c:crosses val="autoZero"/>
        <c:auto val="1"/>
        <c:lblAlgn val="ctr"/>
        <c:lblOffset val="100"/>
        <c:noMultiLvlLbl val="0"/>
      </c:catAx>
      <c:valAx>
        <c:axId val="29487872"/>
        <c:scaling>
          <c:orientation val="minMax"/>
        </c:scaling>
        <c:delete val="0"/>
        <c:axPos val="l"/>
        <c:majorGridlines/>
        <c:title>
          <c:tx>
            <c:rich>
              <a:bodyPr rot="0" vert="wordArtVert"/>
              <a:lstStyle/>
              <a:p>
                <a:pPr>
                  <a:defRPr sz="1600" b="1"/>
                </a:pPr>
                <a:r>
                  <a:rPr lang="en-US" sz="1600" b="1"/>
                  <a:t>Eurai</a:t>
                </a:r>
              </a:p>
            </c:rich>
          </c:tx>
          <c:overlay val="0"/>
        </c:title>
        <c:numFmt formatCode="General" sourceLinked="1"/>
        <c:majorTickMark val="out"/>
        <c:minorTickMark val="none"/>
        <c:tickLblPos val="nextTo"/>
        <c:txPr>
          <a:bodyPr/>
          <a:lstStyle/>
          <a:p>
            <a:pPr>
              <a:defRPr sz="1200"/>
            </a:pPr>
            <a:endParaRPr lang="lt-LT"/>
          </a:p>
        </c:txPr>
        <c:crossAx val="29485696"/>
        <c:crosses val="autoZero"/>
        <c:crossBetween val="between"/>
      </c:valAx>
      <c:spPr>
        <a:noFill/>
        <a:ln w="25400">
          <a:noFill/>
        </a:ln>
      </c:spPr>
    </c:plotArea>
    <c:legend>
      <c:legendPos val="b"/>
      <c:overlay val="0"/>
      <c:txPr>
        <a:bodyPr/>
        <a:lstStyle/>
        <a:p>
          <a:pPr rtl="0">
            <a:defRPr/>
          </a:pPr>
          <a:endParaRPr lang="lt-LT"/>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969D1-0B8E-4DAA-9281-E5EDD477E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9657</Words>
  <Characters>5505</Characters>
  <Application>Microsoft Office Word</Application>
  <DocSecurity>0</DocSecurity>
  <Lines>45</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Algirdas</dc:creator>
  <cp:lastModifiedBy>Statistika</cp:lastModifiedBy>
  <cp:revision>2</cp:revision>
  <cp:lastPrinted>2021-03-15T12:06:00Z</cp:lastPrinted>
  <dcterms:created xsi:type="dcterms:W3CDTF">2021-05-07T10:42:00Z</dcterms:created>
  <dcterms:modified xsi:type="dcterms:W3CDTF">2021-05-07T10:42:00Z</dcterms:modified>
</cp:coreProperties>
</file>